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 xml:space="preserve">April 23,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23, 2026, Glacier Bancorp, Inc. ("Company") issued a press release announcing its financial results for the quarter ended March 31, 2026. A copy of the press release is attached as Exhibit 99.1 and is incorporated herein in its entirety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ind w:left="0" w:right="0" w:hanging="720"/>
        <w:jc w:val="both"/>
        <w:rPr/>
      </w:pPr>
      <w:hyperlink w:anchor="gbci-03312026xex991.htm">
        <w:r>
          <w:rPr>
            <w:rStyle w:val="InternetLink"/>
            <w:rFonts w:ascii="Times New Roman;serif" w:hAnsi="Times New Roman;serif"/>
            <w:b w:val="false"/>
            <w:color w:val="0000FF"/>
            <w:sz w:val="22"/>
            <w:u w:val="single"/>
          </w:rPr>
          <w:t>99.1</w:t>
        </w:r>
      </w:hyperlink>
      <w:r>
        <w:rPr>
          <w:color w:val="000000"/>
        </w:rPr>
        <w:t>    </w:t>
      </w:r>
      <w:r>
        <w:rPr>
          <w:rFonts w:ascii="Times New Roman;serif" w:hAnsi="Times New Roman;serif"/>
          <w:b w:val="false"/>
          <w:color w:val="000000"/>
          <w:sz w:val="22"/>
        </w:rPr>
        <w:t>Glacier Bancorp, Inc. Announces Results for the Quarter and Period Ended March 31, 2026</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 (embedded within the Inline XBRL document)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221" w:type="dxa"/>
        <w:jc w:val="center"/>
        <w:tblInd w:w="0" w:type="dxa"/>
        <w:tblLayout w:type="fixed"/>
        <w:tblCellMar>
          <w:top w:w="28" w:type="dxa"/>
          <w:left w:w="28" w:type="dxa"/>
          <w:bottom w:w="28" w:type="dxa"/>
          <w:right w:w="28" w:type="dxa"/>
        </w:tblCellMar>
      </w:tblPr>
      <w:tblGrid>
        <w:gridCol w:w="266"/>
        <w:gridCol w:w="234"/>
        <w:gridCol w:w="235"/>
        <w:gridCol w:w="494"/>
        <w:gridCol w:w="494"/>
        <w:gridCol w:w="497"/>
        <w:gridCol w:w="437"/>
        <w:gridCol w:w="437"/>
        <w:gridCol w:w="437"/>
        <w:gridCol w:w="1071"/>
        <w:gridCol w:w="1071"/>
        <w:gridCol w:w="154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23, 2026</w:t>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4762500" cy="1047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762500" cy="10477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NEWS RELEASE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April 23, 2026</w:t>
      </w:r>
    </w:p>
    <w:tbl>
      <w:tblPr>
        <w:tblW w:w="7080" w:type="dxa"/>
        <w:jc w:val="center"/>
        <w:tblInd w:w="0" w:type="dxa"/>
        <w:tblLayout w:type="fixed"/>
        <w:tblCellMar>
          <w:top w:w="28" w:type="dxa"/>
          <w:left w:w="28" w:type="dxa"/>
          <w:bottom w:w="28" w:type="dxa"/>
          <w:right w:w="28" w:type="dxa"/>
        </w:tblCellMar>
      </w:tblPr>
      <w:tblGrid>
        <w:gridCol w:w="1152"/>
        <w:gridCol w:w="1013"/>
        <w:gridCol w:w="1015"/>
        <w:gridCol w:w="1141"/>
        <w:gridCol w:w="1141"/>
        <w:gridCol w:w="1618"/>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 IMMEDIATE RELEASE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CONTACT: Randall M. Chesler, CEO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751-4722</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Ron J. Copher, CFO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751-7706</w:t>
            </w:r>
          </w:p>
        </w:tc>
      </w:tr>
    </w:tbl>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 ANNOUNCES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RESULTS FOR THE QUARTER AND PERIOD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1st Quarter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income was $82.1 million for the current quarter, an increase of $18.4 million, or 29 percent, from the prior quarter net income of $63.8 million and an increase of $27.6 million, or 51 percent, from the prior year first quarter net income of $54.6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earnings per share for the current quarter was $0.63 per share, an increase of $0.14 per share, or 29 percent, from the prior quarter diluted earnings per share of $0.49 and an increase of $0.15 per share, or 31 percent, from the prior year first quarter diluted earnings per share of $0.48.</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operating earnings per share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for the current quarter was $0.70 per share, an increase of $0.01 per share, or 1 percent, from the prior quarter diluted operating earnings per share of $0.69 and an increase of $0.23 per share, or 49 percent, from the prior year first quarter diluted operating earnings per share of $0.47.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portfolio of $21.034 billion at March 31, 2026 increased $106 million, or 2 percent annualized, from the prior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Total deposits of $24.742 billion at March 31, 2026 increased $151 million, or 2 percent annualized, from the prior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Non-interest bearing deposits of $7.427 billion at March 31, 2026 increased $113 million, or 6 percent annualized, from the prior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net interest margin as a percentage of earning assets, on a tax-equivalent basis, for the current quarter was 3.80 percent, an increase of 22 basis points from the prior quarter net interest margin of 3.58 percent and an increase of 76 basis points from the prior year first quarter net interest margin of 3.04 percent.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yield of 6.16 percent in the current quarter increased 7 basis points from the prior quarter loan yield of 6.09 percent and increased 39 basis points from the prior year first quarter loan yield of 5.77 percent.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earning asset yield of 5.11 percent in the current quarter increased 11 basis points from the prior quarter earning asset yield of 5.00 percent and increased 50 basis points from the prior year first quarter earning asset yield of 4.61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cost of funding (including non-interest bearing deposits) of 1.40 percent in the current quarter decreased 12 basis points from the prior quarter total cost of funding of 1.52 percent and decreased 28 basis points from the prior year first quarter total cost of funding of 1.68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completed the core system conversion of Guaranty Bancshares, Inc., the bank holding company for Guaranty Bank &amp; Trust, N.A. (collectively, “Guaranty”). Guaranty was acquired on October 1, 2025 with total assets of $3.357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declared a quarterly dividend of $0.33 per share. The Company has declared 164 consecutive quarterly dividends and has increased the dividend 49 times.</w:t>
      </w:r>
    </w:p>
    <w:p>
      <w:pPr>
        <w:pStyle w:val="TextBody"/>
        <w:bidi w:val="0"/>
        <w:spacing w:before="12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Financial Summary</w:t>
      </w:r>
    </w:p>
    <w:tbl>
      <w:tblPr>
        <w:tblW w:w="8496" w:type="dxa"/>
        <w:jc w:val="center"/>
        <w:tblInd w:w="0" w:type="dxa"/>
        <w:tblLayout w:type="fixed"/>
        <w:tblCellMar>
          <w:top w:w="28" w:type="dxa"/>
          <w:left w:w="28" w:type="dxa"/>
          <w:bottom w:w="28" w:type="dxa"/>
          <w:right w:w="28" w:type="dxa"/>
        </w:tblCellMar>
      </w:tblPr>
      <w:tblGrid>
        <w:gridCol w:w="1336"/>
        <w:gridCol w:w="1172"/>
        <w:gridCol w:w="1182"/>
        <w:gridCol w:w="196"/>
        <w:gridCol w:w="646"/>
        <w:gridCol w:w="241"/>
        <w:gridCol w:w="109"/>
        <w:gridCol w:w="109"/>
        <w:gridCol w:w="109"/>
        <w:gridCol w:w="364"/>
        <w:gridCol w:w="364"/>
        <w:gridCol w:w="348"/>
        <w:gridCol w:w="109"/>
        <w:gridCol w:w="109"/>
        <w:gridCol w:w="109"/>
        <w:gridCol w:w="364"/>
        <w:gridCol w:w="364"/>
        <w:gridCol w:w="348"/>
        <w:gridCol w:w="109"/>
        <w:gridCol w:w="109"/>
        <w:gridCol w:w="109"/>
        <w:gridCol w:w="109"/>
        <w:gridCol w:w="109"/>
        <w:gridCol w:w="109"/>
        <w:gridCol w:w="109"/>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and market data)</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results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63,779 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54,568 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Operating diluted earnings per share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Dividends declared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Market value per share</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Closing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High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Low</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Selected ratios and other data</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common stock shares outstanding</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130,124,378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129,971,712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113,517,944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basic</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130,052,858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129,950,587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113,451,199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diluted</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130,145,104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113,546,365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assets (annualized)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0.78 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0.80 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equity (annualized)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6.77 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Efficiency ratio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61.04 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65.49 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to deposit ratio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83.64 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full time equivalent employees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locations</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ATMs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68"/>
        <w:jc w:val="both"/>
        <w:rPr/>
      </w:pPr>
      <w:r>
        <w:rPr>
          <w:rFonts w:ascii="Times New Roman;serif" w:hAnsi="Times New Roman;serif"/>
          <w:b/>
          <w:color w:val="000000"/>
          <w:sz w:val="24"/>
        </w:rPr>
        <w:t>KALISPELL, Mont.</w:t>
      </w:r>
      <w:r>
        <w:rPr>
          <w:rFonts w:ascii="Times New Roman;serif" w:hAnsi="Times New Roman;serif"/>
          <w:b w:val="false"/>
          <w:color w:val="000000"/>
          <w:sz w:val="24"/>
        </w:rPr>
        <w:t xml:space="preserve">, Apr 23, 2026 (GLOBE NEWSWIRE) - Glacier Bancorp, Inc. (NYSE: GBCI) reported net income of $82.1 million for the current quarter, an increase of $18.4 million, or 29 percent, from the prior quarter net income of $63.8 million and an increase of $27.6 million, or 51 percent, from the prior year first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quarter net income of $54.6 million. Diluted earnings per share for the current quarter was $0.63 per share, an increase of $0.14 per share, or 29 percent, from the prior quarter diluted earnings per share of $0.49 and an increase of $0.15 per share, or 31 percent, from the prior year first quarter diluted earnings per share of $0.48. Diluted operating earnings per share for the current quarter was $0.70 per share, an increase of $0.01 per share, or 1 percent, from the prior quarter diluted operating earnings per share of $0.69 and an increase of $0.23 per share, or 49 percent, from the prior year first quarter diluted operating earnings per share of $0.47. The current quarter included $8.9 million in acquisition-related expenses and $2.8 million of compensation from acquisition-related employment agreements. “We opened 2026 with strong results, delivering record net income, net interest margin expansion and loan and deposit growth,” said Randy Chesler, President and Chief Executive Officer. “We also completed the Guaranty core systems conversion during the current quarter. This was an important milestone that positions us to capture the full benefits of the acquisition. Our teams remain focused on disciplined growth, delivering operating leverage and creating long-term value for shareholders.”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Asset Summary</w:t>
      </w:r>
    </w:p>
    <w:tbl>
      <w:tblPr>
        <w:tblW w:w="10083" w:type="dxa"/>
        <w:jc w:val="left"/>
        <w:tblInd w:w="0" w:type="dxa"/>
        <w:tblLayout w:type="fixed"/>
        <w:tblCellMar>
          <w:top w:w="28" w:type="dxa"/>
          <w:left w:w="28" w:type="dxa"/>
          <w:bottom w:w="28" w:type="dxa"/>
          <w:right w:w="28" w:type="dxa"/>
        </w:tblCellMar>
      </w:tblPr>
      <w:tblGrid>
        <w:gridCol w:w="895"/>
        <w:gridCol w:w="788"/>
        <w:gridCol w:w="792"/>
        <w:gridCol w:w="196"/>
        <w:gridCol w:w="961"/>
        <w:gridCol w:w="109"/>
        <w:gridCol w:w="109"/>
        <w:gridCol w:w="109"/>
        <w:gridCol w:w="109"/>
        <w:gridCol w:w="479"/>
        <w:gridCol w:w="482"/>
        <w:gridCol w:w="221"/>
        <w:gridCol w:w="109"/>
        <w:gridCol w:w="109"/>
        <w:gridCol w:w="109"/>
        <w:gridCol w:w="479"/>
        <w:gridCol w:w="482"/>
        <w:gridCol w:w="221"/>
        <w:gridCol w:w="109"/>
        <w:gridCol w:w="109"/>
        <w:gridCol w:w="109"/>
        <w:gridCol w:w="109"/>
        <w:gridCol w:w="109"/>
        <w:gridCol w:w="404"/>
        <w:gridCol w:w="406"/>
        <w:gridCol w:w="221"/>
        <w:gridCol w:w="131"/>
        <w:gridCol w:w="131"/>
        <w:gridCol w:w="131"/>
        <w:gridCol w:w="434"/>
        <w:gridCol w:w="437"/>
        <w:gridCol w:w="221"/>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63" w:type="dxa"/>
            <w:gridSpan w:val="2"/>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981,485 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149,976 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403,752 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4,172,312 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(421,981)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(586,781)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3,261,575 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(51,554)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(202,913)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7,433,887 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(473,535)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(789,694)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Loans receivable </w:t>
            </w:r>
            <w:r>
              <w:rPr>
                <w:rFonts w:ascii="Arial Narrow;sans-serif" w:hAnsi="Arial Narrow;sans-serif"/>
                <w:b w:val="false"/>
                <w:color w:val="000000"/>
                <w:sz w:val="13"/>
              </w:rPr>
              <w:t>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2,457,907 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1,850,079 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(290,047)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13,918,178 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13,565,512 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10,952,809 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352,666 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2,965,369 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commercial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3,497,829 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3,121,477 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(30,966)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345,386 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977,206 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920,132 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128,839 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429,342 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374,021 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17,218,518 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105,867 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3,815,145 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17,008,118 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105,415 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3,769,774 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2,952,597 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2,435,389 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(25,837)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491,371 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27,858,879 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(243,981)</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3,875,203 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1     </w:t>
      </w:r>
      <w:r>
        <w:rPr>
          <w:rFonts w:ascii="Arial Narrow;sans-serif" w:hAnsi="Arial Narrow;sans-serif"/>
          <w:b w:val="false"/>
          <w:color w:val="000000"/>
          <w:sz w:val="18"/>
        </w:rPr>
        <w:t xml:space="preserve">In connection with the current quarter Guaranty core system conversion,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continues to maintain a strong cash position of $1.385 billion at March 31, 2026, which was an increase of $150 million, or 12 percent, over the prior quarter and an increase of $404 million, or 41 percent, over the prior year first quarter. Total debt securities of $6.644 billion at March 31, 2026 decreased $474 million, or 7 percent, during the current quarter and decreased $790 million, or 11 percent, from the prior year first quarter. Debt securities represented 21 percent of total assets at March 31, 2026 compared to 22 percent at December 31, 2025 and 27 percent at March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loan portfolio of $21.034 billion at March 31, 2026 increased $106 million, or 2 percent annualized, during the current quarter. The loan portfolio increased $3.815 billion, or 22 percent, from the prior year first quarter. Excluding the Bank of Idaho (“BOID”) acquisition on April 30, 2025 and the Guaranty acquisition on October 1, 2025, the loan portfolio organically increased $638 million, or 4 percent, from the prior year first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Summary</w:t>
      </w:r>
    </w:p>
    <w:tbl>
      <w:tblPr>
        <w:tblW w:w="10205" w:type="dxa"/>
        <w:jc w:val="left"/>
        <w:tblInd w:w="0" w:type="dxa"/>
        <w:tblLayout w:type="fixed"/>
        <w:tblCellMar>
          <w:top w:w="28" w:type="dxa"/>
          <w:left w:w="28" w:type="dxa"/>
          <w:bottom w:w="28" w:type="dxa"/>
          <w:right w:w="28" w:type="dxa"/>
        </w:tblCellMar>
      </w:tblPr>
      <w:tblGrid>
        <w:gridCol w:w="1428"/>
        <w:gridCol w:w="1117"/>
        <w:gridCol w:w="1122"/>
        <w:gridCol w:w="341"/>
        <w:gridCol w:w="1284"/>
        <w:gridCol w:w="419"/>
        <w:gridCol w:w="109"/>
        <w:gridCol w:w="109"/>
        <w:gridCol w:w="109"/>
        <w:gridCol w:w="438"/>
        <w:gridCol w:w="389"/>
        <w:gridCol w:w="735"/>
        <w:gridCol w:w="109"/>
        <w:gridCol w:w="109"/>
        <w:gridCol w:w="109"/>
        <w:gridCol w:w="589"/>
        <w:gridCol w:w="438"/>
        <w:gridCol w:w="981"/>
        <w:gridCol w:w="109"/>
        <w:gridCol w:w="161"/>
      </w:tblGrid>
      <w:tr>
        <w:trPr/>
        <w:tc>
          <w:tcPr>
            <w:tcW w:w="142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beginning of period</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6,154 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(4,186)</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(18,682)</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(3,897)</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Recoveries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2,102 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end of period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210,400 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2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portfolio</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6,154 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Unfunded loan commitments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9,554 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1,660 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provision for credit losses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6,064 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71,400 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7,814 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1,417 </w:t>
            </w:r>
          </w:p>
        </w:tc>
        <w:tc>
          <w:tcPr>
            <w:tcW w:w="4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1,085 </w:t>
            </w:r>
          </w:p>
        </w:tc>
        <w:tc>
          <w:tcPr>
            <w:tcW w:w="9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foreclosed assets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90 days or more past due</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5,289 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Non-accrual loans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64,415 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62,487 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32,896 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non-performing assets</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79,495 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39,338 </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Non-performing assets as a percentage of subsidiary assets</w:t>
            </w:r>
          </w:p>
        </w:tc>
        <w:tc>
          <w:tcPr>
            <w:tcW w:w="1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0.25 </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0.14 </w:t>
            </w:r>
          </w:p>
        </w:tc>
        <w:tc>
          <w:tcPr>
            <w:tcW w:w="9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non-performing loans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total loans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charge-offs as a percentage of total loans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0.06 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0.01 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30-89 days past due</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91,760 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46,458 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 government guarantees included in non-performing assets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8,733 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Non-performing assets of $79.5 million at March 31, 2026 increased $10.6 million, or 15 percent, over the prior quarter and increased $40.2 million, or 102 percent, over the prior year first quarter. Early stage delinquencies (accruing loans 30-89 days past due) of $91.8 million at March 31, 2026 increased $12.9 million from the prior quarter and increased $45.3 million from the prior year first quarter. Early stage delinquencies as a percentage of loans at March 31, 2026 were 0.44 percent compared to 0.38 percent for the prior quarter and 0.27 percent for the prior year first quarter and remain at historically low levels for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 quarter provision for credit loss expense of $6.1 million included $3.5 million of credit loss expense on loans and $2.6 million of credit loss expense on unfunded loan commitments. The allowance for credit losses (“ACL”) on loans as a percentage of total loans outstanding was 1.22 percent at each of March 31, 2026, December 31, 2025 and March 31, 2025. Loan portfolio growth, composition, average loan size, credit quality considerations, economic forecasts, actual results, and other environmental factors will continue to determine the level of the ACL on loans.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Trends and Provision for Credit Losses on the Loan Portfolio</w:t>
      </w:r>
    </w:p>
    <w:tbl>
      <w:tblPr>
        <w:tblW w:w="10205" w:type="dxa"/>
        <w:jc w:val="left"/>
        <w:tblInd w:w="0" w:type="dxa"/>
        <w:tblLayout w:type="fixed"/>
        <w:tblCellMar>
          <w:top w:w="28" w:type="dxa"/>
          <w:left w:w="28" w:type="dxa"/>
          <w:bottom w:w="28" w:type="dxa"/>
          <w:right w:w="28" w:type="dxa"/>
        </w:tblCellMar>
      </w:tblPr>
      <w:tblGrid>
        <w:gridCol w:w="589"/>
        <w:gridCol w:w="518"/>
        <w:gridCol w:w="521"/>
        <w:gridCol w:w="565"/>
        <w:gridCol w:w="1602"/>
        <w:gridCol w:w="313"/>
        <w:gridCol w:w="109"/>
        <w:gridCol w:w="109"/>
        <w:gridCol w:w="109"/>
        <w:gridCol w:w="292"/>
        <w:gridCol w:w="830"/>
        <w:gridCol w:w="164"/>
        <w:gridCol w:w="109"/>
        <w:gridCol w:w="109"/>
        <w:gridCol w:w="109"/>
        <w:gridCol w:w="238"/>
        <w:gridCol w:w="238"/>
        <w:gridCol w:w="530"/>
        <w:gridCol w:w="109"/>
        <w:gridCol w:w="109"/>
        <w:gridCol w:w="109"/>
        <w:gridCol w:w="281"/>
        <w:gridCol w:w="281"/>
        <w:gridCol w:w="624"/>
        <w:gridCol w:w="109"/>
        <w:gridCol w:w="109"/>
        <w:gridCol w:w="109"/>
        <w:gridCol w:w="282"/>
        <w:gridCol w:w="282"/>
        <w:gridCol w:w="747"/>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Provision for Credit Losses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ACL</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Non-Performing</w:t>
              <w:br/>
              <w:t>Assets to</w:t>
              <w:br/>
              <w:t>Total Subsidiary</w:t>
              <w:br/>
              <w:t>Assets</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2026</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0.44 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0.25 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2025</w:t>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32,491 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0.38 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2025</w:t>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0.21 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2025</w:t>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0.17 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2025</w:t>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0.27 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0.14 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2024</w:t>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0.10 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2024</w:t>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0.10 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2024</w:t>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0.06 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charge-offs for the current quarter were $3.1 million compared to $6.4 million in the prior quarter and $1.8 million for the prior year first quarter. The current quarter net charge-offs included $2.2 million in deposit overdraft net charge-offs and $896 thousand of net loan charge-offs.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information regarding credit quality and identification of the Company’s loan portfolio based on the regulatory classification of loans is provided in the exhibits at the end of this press release. The regulatory classification of loans is based primarily on collateral type while the Company’s loan segments presented herein are based on the purpose of the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Liability Summary</w:t>
      </w:r>
    </w:p>
    <w:tbl>
      <w:tblPr>
        <w:tblW w:w="10205" w:type="dxa"/>
        <w:jc w:val="left"/>
        <w:tblInd w:w="0" w:type="dxa"/>
        <w:tblLayout w:type="fixed"/>
        <w:tblCellMar>
          <w:top w:w="28" w:type="dxa"/>
          <w:left w:w="28" w:type="dxa"/>
          <w:bottom w:w="28" w:type="dxa"/>
          <w:right w:w="28" w:type="dxa"/>
        </w:tblCellMar>
      </w:tblPr>
      <w:tblGrid>
        <w:gridCol w:w="1007"/>
        <w:gridCol w:w="814"/>
        <w:gridCol w:w="817"/>
        <w:gridCol w:w="196"/>
        <w:gridCol w:w="961"/>
        <w:gridCol w:w="109"/>
        <w:gridCol w:w="109"/>
        <w:gridCol w:w="109"/>
        <w:gridCol w:w="109"/>
        <w:gridCol w:w="479"/>
        <w:gridCol w:w="482"/>
        <w:gridCol w:w="203"/>
        <w:gridCol w:w="109"/>
        <w:gridCol w:w="109"/>
        <w:gridCol w:w="109"/>
        <w:gridCol w:w="479"/>
        <w:gridCol w:w="482"/>
        <w:gridCol w:w="203"/>
        <w:gridCol w:w="109"/>
        <w:gridCol w:w="109"/>
        <w:gridCol w:w="109"/>
        <w:gridCol w:w="109"/>
        <w:gridCol w:w="109"/>
        <w:gridCol w:w="396"/>
        <w:gridCol w:w="398"/>
        <w:gridCol w:w="203"/>
        <w:gridCol w:w="125"/>
        <w:gridCol w:w="125"/>
        <w:gridCol w:w="125"/>
        <w:gridCol w:w="463"/>
        <w:gridCol w:w="466"/>
        <w:gridCol w:w="203"/>
        <w:gridCol w:w="109"/>
        <w:gridCol w:w="161"/>
      </w:tblGrid>
      <w:tr>
        <w:trPr/>
        <w:tc>
          <w:tcPr>
            <w:tcW w:w="10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70" w:type="dxa"/>
            <w:gridSpan w:val="2"/>
            <w:tcBorders/>
          </w:tcPr>
          <w:p>
            <w:pPr>
              <w:pStyle w:val="TableContents"/>
              <w:bidi w:val="0"/>
              <w:spacing w:before="0" w:after="283"/>
              <w:jc w:val="left"/>
              <w:rPr>
                <w:sz w:val="4"/>
                <w:szCs w:val="4"/>
              </w:rPr>
            </w:pPr>
            <w:r>
              <w:rPr>
                <w:sz w:val="4"/>
                <w:szCs w:val="4"/>
              </w:rPr>
            </w:r>
          </w:p>
        </w:tc>
      </w:tr>
      <w:tr>
        <w:trPr/>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6,100,548 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1,326,732 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6,236,551 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5,676,177 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541,551 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3,158,939 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2,896,378 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296,915 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3,948,201 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2,816,874 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101,160 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1,232,487 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3,928,550 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3,140,333 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(77,341)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710,876 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deposits, total</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24,738,871 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24,587,020 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20,630,310 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151,851 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4,108,561 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Wholesale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total</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24,591,096 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20,634,050 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150,775 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4,107,821 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1,849,070 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236,553 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and repurchase agreements, total</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26,827,494 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26,675,209 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22,483,120 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152,285 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4,344,374 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1,520,000 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(1,520,000)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(10,652)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54,887 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381,260 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27,485,583 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24,571,271 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(278,659)</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2,914,312 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deposits of $24.7 billion at March 31, 2026 increased $151 million, or 2 percent annualized, during the current quarter and increased $4.108 billion, or 20 percent, from the prior year first quarter. Excluding acquisitions, total deposits organically increased $323 million, or 2 percent, from the prior year first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Non-interest bearing deposits of $7.427 billion at March 31, 2026 increased $113 million, or 6 percent annualized, from the prior quarter and increased $1.327 billion, or 22 percent, from the prior year first quarter. Excluding acquisitions, total non-interest bearing deposits organically increased $223 million, or 4 percent, from the prior year first quarter. Non-interest bearing deposits represented 30 percent of total deposits at March 31, 2026, December 31, 2025 and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remaining $440 million of Federal Home Loan Bank (“FHLB”) advances were paid off during the current quarter. Subordinated debentures of $188 million increased $54.9 million, or 41 percent, from the prior year first quarter as a result of the acquisitions.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Stockholders’ Equity Summary</w:t>
      </w:r>
    </w:p>
    <w:tbl>
      <w:tblPr>
        <w:tblW w:w="10205" w:type="dxa"/>
        <w:jc w:val="left"/>
        <w:tblInd w:w="0" w:type="dxa"/>
        <w:tblLayout w:type="fixed"/>
        <w:tblCellMar>
          <w:top w:w="28" w:type="dxa"/>
          <w:left w:w="28" w:type="dxa"/>
          <w:bottom w:w="28" w:type="dxa"/>
          <w:right w:w="28" w:type="dxa"/>
        </w:tblCellMar>
      </w:tblPr>
      <w:tblGrid>
        <w:gridCol w:w="1107"/>
        <w:gridCol w:w="938"/>
        <w:gridCol w:w="947"/>
        <w:gridCol w:w="196"/>
        <w:gridCol w:w="871"/>
        <w:gridCol w:w="109"/>
        <w:gridCol w:w="109"/>
        <w:gridCol w:w="109"/>
        <w:gridCol w:w="109"/>
        <w:gridCol w:w="468"/>
        <w:gridCol w:w="471"/>
        <w:gridCol w:w="214"/>
        <w:gridCol w:w="109"/>
        <w:gridCol w:w="109"/>
        <w:gridCol w:w="109"/>
        <w:gridCol w:w="468"/>
        <w:gridCol w:w="471"/>
        <w:gridCol w:w="214"/>
        <w:gridCol w:w="109"/>
        <w:gridCol w:w="109"/>
        <w:gridCol w:w="109"/>
        <w:gridCol w:w="109"/>
        <w:gridCol w:w="109"/>
        <w:gridCol w:w="323"/>
        <w:gridCol w:w="323"/>
        <w:gridCol w:w="214"/>
        <w:gridCol w:w="128"/>
        <w:gridCol w:w="128"/>
        <w:gridCol w:w="128"/>
        <w:gridCol w:w="401"/>
        <w:gridCol w:w="403"/>
        <w:gridCol w:w="214"/>
        <w:gridCol w:w="109"/>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70" w:type="dxa"/>
            <w:gridSpan w:val="2"/>
            <w:tcBorders/>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Common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4,380,931 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3,550,719 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43,617 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873,829 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(263,111)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87,062 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3,287,608 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34,678 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960,891 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(1,099,229)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(379,524)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(non-GAAP) </w:t>
            </w:r>
            <w:r>
              <w:rPr>
                <w:rFonts w:ascii="Arial Narrow;sans-serif" w:hAnsi="Arial Narrow;sans-serif"/>
                <w:b w:val="false"/>
                <w:color w:val="000000"/>
                <w:sz w:val="13"/>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2,769,746 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2,188,379 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39,477 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581,367 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2"/>
        <w:gridCol w:w="1490"/>
        <w:gridCol w:w="1495"/>
        <w:gridCol w:w="196"/>
        <w:gridCol w:w="556"/>
        <w:gridCol w:w="241"/>
        <w:gridCol w:w="109"/>
        <w:gridCol w:w="109"/>
        <w:gridCol w:w="109"/>
        <w:gridCol w:w="278"/>
        <w:gridCol w:w="278"/>
        <w:gridCol w:w="241"/>
        <w:gridCol w:w="109"/>
        <w:gridCol w:w="109"/>
        <w:gridCol w:w="109"/>
        <w:gridCol w:w="278"/>
        <w:gridCol w:w="278"/>
        <w:gridCol w:w="241"/>
        <w:gridCol w:w="109"/>
        <w:gridCol w:w="109"/>
        <w:gridCol w:w="109"/>
        <w:gridCol w:w="109"/>
        <w:gridCol w:w="109"/>
        <w:gridCol w:w="233"/>
        <w:gridCol w:w="233"/>
        <w:gridCol w:w="109"/>
        <w:gridCol w:w="109"/>
        <w:gridCol w:w="109"/>
        <w:gridCol w:w="109"/>
        <w:gridCol w:w="233"/>
        <w:gridCol w:w="233"/>
        <w:gridCol w:w="109"/>
        <w:gridCol w:w="109"/>
        <w:gridCol w:w="156"/>
      </w:tblGrid>
      <w:tr>
        <w:trPr/>
        <w:tc>
          <w:tcPr>
            <w:tcW w:w="169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Stockholders’ equity to total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11.80 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to total tangible assets (non-GAAP) </w:t>
            </w:r>
            <w:r>
              <w:rPr>
                <w:rFonts w:ascii="Arial Narrow;sans-serif" w:hAnsi="Arial Narrow;sans-serif"/>
                <w:b w:val="false"/>
                <w:color w:val="000000"/>
                <w:sz w:val="13"/>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book value per common share (non-GAAP)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Tangible stockholders’ equity of $2.770 billion at March 31, 2026 increased $39 million, or 1 percent, compared to the prior quarter and was primarily due to earnings retention. Tangible stockholders’ equity increased $581 million, or 27 percent, from the prior year first quarter and was primarily due to $765 million of Company stock issued in connection with the acquisitions of BOID and Guaranty and an $87 million decrease in other comprehensive loss. The increase was partially offset by the increase in goodwill and core deposit intangible associated with the BOID and Guaranty acquisitions. Tangible book value per common share of $21.29 at the current quarter end increased $0.28 per share, or 1 percent, from the prior quarter and increased $2.01 per share, or 10 percent, from the prior year first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Cash Dividends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March 25, 2026, the Company’s Board of Directors declared a quarterly cash dividend of $0.33 per share. The dividend was payable April 16, 2026 to shareholders of record on April 7, 2026. The dividend was the Company’s 164th consecutive regular dividend. Future cash dividends will depend on a variety of factors, including net income, capital, asset quality, general economic conditions and regulatory considerations.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Operating Results for Three Months Ended March 31,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Compared to December 31, 2025 and March 31, 2025</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Income Summary</w:t>
      </w:r>
    </w:p>
    <w:tbl>
      <w:tblPr>
        <w:tblW w:w="10205" w:type="dxa"/>
        <w:jc w:val="left"/>
        <w:tblInd w:w="0" w:type="dxa"/>
        <w:tblLayout w:type="fixed"/>
        <w:tblCellMar>
          <w:top w:w="28" w:type="dxa"/>
          <w:left w:w="28" w:type="dxa"/>
          <w:bottom w:w="28" w:type="dxa"/>
          <w:right w:w="28" w:type="dxa"/>
        </w:tblCellMar>
      </w:tblPr>
      <w:tblGrid>
        <w:gridCol w:w="1092"/>
        <w:gridCol w:w="748"/>
        <w:gridCol w:w="752"/>
        <w:gridCol w:w="196"/>
        <w:gridCol w:w="736"/>
        <w:gridCol w:w="241"/>
        <w:gridCol w:w="109"/>
        <w:gridCol w:w="109"/>
        <w:gridCol w:w="109"/>
        <w:gridCol w:w="368"/>
        <w:gridCol w:w="368"/>
        <w:gridCol w:w="294"/>
        <w:gridCol w:w="109"/>
        <w:gridCol w:w="109"/>
        <w:gridCol w:w="109"/>
        <w:gridCol w:w="368"/>
        <w:gridCol w:w="368"/>
        <w:gridCol w:w="294"/>
        <w:gridCol w:w="109"/>
        <w:gridCol w:w="329"/>
        <w:gridCol w:w="329"/>
        <w:gridCol w:w="330"/>
        <w:gridCol w:w="109"/>
        <w:gridCol w:w="109"/>
        <w:gridCol w:w="109"/>
        <w:gridCol w:w="343"/>
        <w:gridCol w:w="345"/>
        <w:gridCol w:w="186"/>
        <w:gridCol w:w="109"/>
        <w:gridCol w:w="109"/>
        <w:gridCol w:w="109"/>
        <w:gridCol w:w="323"/>
        <w:gridCol w:w="323"/>
        <w:gridCol w:w="186"/>
        <w:gridCol w:w="109"/>
        <w:gridCol w:w="160"/>
      </w:tblGrid>
      <w:tr>
        <w:trPr/>
        <w:tc>
          <w:tcPr>
            <w:tcW w:w="109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629" w:type="dxa"/>
            <w:gridSpan w:val="14"/>
            <w:tcBorders/>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372,754 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289,925 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106,688 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99,946 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266,066 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189,979 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78,698 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40,447 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32,642 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(2,365)</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306,759 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306,513 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222,621 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Core Net Interest margin (tax-equivalent) (non-GAAP) </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629" w:type="dxa"/>
            <w:gridSpan w:val="14"/>
            <w:tcBorders/>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Net 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interest income of $269 million for the current quarter increased $2.6 million, or 1 percent, from the prior quarter net interest income of $266 million and increased $78.7 million, or 41 percent, from the prior year first quarter net interest income of $190 million. The current quarter interest income of $362 million decreased $10.4 million, or 3 percent, over the prior quarter which primarily resulted from a decrease in debt securities. The current quarter interest income increased $72.4 million, or 25 percent, over the prior year first quarter and was primarily driven by both increased loans and increased interest rates on earning assets. The loan yield of 6.16 percent in the current quarter increased 7 basis points from the prior quarter loan yield of 6.09 percent and increased 39 basis points from the prior year first quarter loan yield of 5.77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 quarter interest expense of $93.7 million decreased $13.0 million, or 12 percent, from the prior quarter, primarily due to a decrease in interest rates on deposits and a decrease in higher cost borrowings. The current quarter interest expense decreased $6.3 million, or 6 percent, from the prior year first quarter and was primarily attributable to the decrease in higher cost borrowings. Deposit cost (including non-interest bearing deposits) decreased to 1.20 percent in the current quarter compared to 1.26 percent in the prior quarter and 1.25 percent in the prior year first quarter.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The net interest margin as a percentage of earning assets, on a tax-equivalent basis, for the current quarter was 3.80 percent, an increase of 22 basis points from the prior quarter net interest margin of 3.58 percent and was primarily driven by an increase in loan yields and a decrease in the total cost of funding. The net interest margin as a percentage of earning assets, on a tax-equivalent basis, for the current quarter increased 76 basis points from the prior year first quarter net interest margin of 3.04 percent and was also primarily driven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increase in loan yields and the decrease in the total cost of funding. Core net interest margin was 3.73 percent in the current quarter compared to 3.51 percent in the prior quarter and 2.98 percent in the prior year first quarter with the increases also primarily driven by an increase in loan yields and a decrease in total cost of funding. “The Company delivered improvement in both net interest margin and net interest income during the current quarter,” said Ron Copher, Chief Financial Officer. “Improved loan yields and continued reduction in funding costs strengthened core earnings and underscores the Company’s improving net interest income profile.”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Non-interest income for the current quarter totaled $38.1 million, which was a decrease of $2.4 million, or 6 percent, over the prior quarter and an increase of $5.4 million, or 17 percent, over the prior year first quarter. Deposit service charges and other fees of $15.3 million for the current quarter decreased $639 thousand, or 4 percent, compared to the prior quarter and was primarily due to seasonal fluctuations. Payment services of $11.4 million for the current quarter decreased $1.3 million, or 10 percent, from the prior quarter and was also primarily driven by seasonal fluctuations. Deposit service charges and other fees increased $2.1 million, or 15 percent, compared to the prior year first quarter and payment services increased $2.0 million, or 22 percent, over the prior year first quarter. Gain on the sale of residential loans of $5.1 million for the current quarter increased $514 thousand, or 11 percent, compared to the prior quarter and increased $797 thousand, or 18 percent, from the prior year first quarter. Other income of $4.1 million in the current quarter decreased $742 thousand, or 15 percent, and was primarily attributable to an $825 thousand decrease in income related to bank owned life insurance proceeds.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Non-interest Expense Summary</w:t>
      </w:r>
    </w:p>
    <w:tbl>
      <w:tblPr>
        <w:tblW w:w="10205" w:type="dxa"/>
        <w:jc w:val="left"/>
        <w:tblInd w:w="0" w:type="dxa"/>
        <w:tblLayout w:type="fixed"/>
        <w:tblCellMar>
          <w:top w:w="28" w:type="dxa"/>
          <w:left w:w="28" w:type="dxa"/>
          <w:bottom w:w="28" w:type="dxa"/>
          <w:right w:w="28" w:type="dxa"/>
        </w:tblCellMar>
      </w:tblPr>
      <w:tblGrid>
        <w:gridCol w:w="1060"/>
        <w:gridCol w:w="908"/>
        <w:gridCol w:w="878"/>
        <w:gridCol w:w="196"/>
        <w:gridCol w:w="736"/>
        <w:gridCol w:w="109"/>
        <w:gridCol w:w="109"/>
        <w:gridCol w:w="109"/>
        <w:gridCol w:w="109"/>
        <w:gridCol w:w="368"/>
        <w:gridCol w:w="368"/>
        <w:gridCol w:w="204"/>
        <w:gridCol w:w="109"/>
        <w:gridCol w:w="109"/>
        <w:gridCol w:w="109"/>
        <w:gridCol w:w="368"/>
        <w:gridCol w:w="368"/>
        <w:gridCol w:w="204"/>
        <w:gridCol w:w="109"/>
        <w:gridCol w:w="362"/>
        <w:gridCol w:w="362"/>
        <w:gridCol w:w="363"/>
        <w:gridCol w:w="109"/>
        <w:gridCol w:w="109"/>
        <w:gridCol w:w="109"/>
        <w:gridCol w:w="306"/>
        <w:gridCol w:w="308"/>
        <w:gridCol w:w="204"/>
        <w:gridCol w:w="109"/>
        <w:gridCol w:w="109"/>
        <w:gridCol w:w="109"/>
        <w:gridCol w:w="323"/>
        <w:gridCol w:w="323"/>
        <w:gridCol w:w="204"/>
        <w:gridCol w:w="109"/>
        <w:gridCol w:w="157"/>
      </w:tblGrid>
      <w:tr>
        <w:trPr/>
        <w:tc>
          <w:tcPr>
            <w:tcW w:w="106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588" w:type="dxa"/>
            <w:gridSpan w:val="14"/>
            <w:tcBorders/>
          </w:tcPr>
          <w:p>
            <w:pPr>
              <w:pStyle w:val="TableContents"/>
              <w:bidi w:val="0"/>
              <w:spacing w:before="0" w:after="283"/>
              <w:jc w:val="left"/>
              <w:rPr>
                <w:sz w:val="4"/>
                <w:szCs w:val="4"/>
              </w:rPr>
            </w:pPr>
            <w:r>
              <w:rPr>
                <w:sz w:val="4"/>
                <w:szCs w:val="4"/>
              </w:rPr>
            </w:r>
          </w:p>
        </w:tc>
      </w:tr>
      <w:tr>
        <w:trPr/>
        <w:tc>
          <w:tcPr>
            <w:tcW w:w="2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110,999 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91,443 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194,557 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151,318 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49,211 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88" w:type="dxa"/>
            <w:gridSpan w:val="14"/>
            <w:tcBorders/>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non-interest expense of $201 million for the current quarter increased $6.0 million, or 3 percent, over the prior quarter. Total non-interest expense increased $49.2 million, or 33 percent, over the prior year first quarter and was primarily driven by increased costs from the acquired banks.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Compensation and employee benefits of $116 million for the current quarter increased by $4.8 million, or 4 percent, over the prior quarter which was primarily driven by annual salary increases and increased employee benefits. Compensation and employee benefits increased $24.3 million, or 27 percent, from the prior year first quarter and was primarily driven by annual salary increases and increases in staffing levels from the acquired banks. Occupancy and equipment expense of $15.7 million decreased $1.8 million, or 11 percent, from the prior quarter and was primarily due to the prior quarter including $1.1 million of expenses related to vacating branch locations. Regulatory assessment and insurance expense of $6.4 million increased $908 thousand, or 17 percent, from the prior quarter primarily from a $739 thousand decrease in expense reduction related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FDIC special assessment. Other expenses of $39.1 million increased $1.6 million, or 4 percent, from the prior quarter and was primarily driven by increased acquisition-related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Acquisition-related expense was $8.9 million in the current quarter compared to $5.8 million in the prior quarter and $587 thousand in the prior year first quarter. In addition, compensation and employee benefits included $2.8 million of expense attributable to acquisition-related employment agreements in the current quarter compared to $2.9 million in the prior quarter and $251 thousand in the prior year first quarter.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Federal and State Income Tax Expense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Tax expense during the first quarter of 2026 was $18.0 million, an increase of $5.5 million, or 44 percent, compared to the prior quarter and an increase of $9.1 million, or 102 percent, from the prior year first quarter. The effective tax rate in the current quarter was 18.0 percent compared to 16.4 percent in the prior quarter and 14.1 percent in the prior year first quarter. The higher tax expense and higher effective tax rate in the current quarter compared to the prior quarter and prior year first quarter was primarily the result of an increase in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Efficiency Ratio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efficiency ratio was 63.05 percent in the current quarter compared to 61.04 percent in the prior quarter and 65.49 percent in the prior year first quarter. The increase from the prior quarter was principally driven by the increase in acquisition-related expenses. The decrease from the prior year first quarter was primarily due to the increase in net interest income which outpaced the increase in non-interest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4"/>
          <w:u w:val="single"/>
        </w:rPr>
        <w:t>Forward-Looking Statements</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could cause actual results to differ materially from the anticipated results (express or implied) or other expectations in the forward-looking statements, including those made in this news release: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ind w:left="0" w:right="0" w:hanging="360"/>
        <w:jc w:val="both"/>
        <w:rPr/>
      </w:pPr>
      <w:r>
        <w:rPr>
          <w:color w:val="000000"/>
        </w:rPr>
        <w:t>•</w:t>
      </w:r>
      <w:r>
        <w:rPr>
          <w:rFonts w:ascii="Times New Roman;serif" w:hAnsi="Times New Roman;serif"/>
          <w:b w:val="false"/>
          <w:color w:val="000000"/>
          <w:sz w:val="24"/>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associated with the Company’s ability to negotiate, complete, and successfully integrate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related to rapidly evolving artificial intelligence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dependence on the Chief Executive Officer, the senior management team and the Presidents of Glacier Bank’s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success in managing risks involved in any of the foregoing;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effects of any reputational damage to the Company resulting from any of the foregoing.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does not undertake any obligation to publicly correct or update any forward-looking statement if it later becomes aware that actual results are likely to differ materially from those expressed in such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Conference Call Information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 conference call for investors is scheduled for 11:00 a.m. Eastern Time on Friday, April 24, 2026. Please note that our conference call host no longer offers a general dial-in number. Investors who would like to join the call may now register by following this link to obtain dial-in instructions: https://register-conf.media-server.com/register/BId56d290e29e945559b681adb3a18978d. To participate via the webcast, log on to: https://edge.media-server.com/mmc/p/2ords9eb.</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About Glacier Bancorp,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Glacier Bancorp, Inc. (NYSE: GBCI), a member of the Russell 2000® and the S&amp;P MidCap 400® indices, is the parent company for Glacier Bank and its Bank divisions located across its nine state footprint: Altabank (American Fork, UT), Bank of the San Juans (Durango, CO), Citizens Community Bank (Pocatello, ID), Collegiate Peaks Bank (Buena Vista, CO), First Bank of Montana (Lewistown, MT), First Bank of Wyoming (Powell, WY), First Community Bank Utah (Layton, UT), First Security Bank (Bozeman, MT), First Security Bank of Missoula (Missoula, MT), First State Bank (Wheatland, WY), Glacier Bank (Kalispell, MT), Guaranty Bank &amp; Trust (Mount Pleasant, TX), Heritage Bank of Nevada (Reno, NV), Mountain West Bank (Coeur d’Alene, ID), The Foothills Bank (Yuma, AZ), Valley Bank (Helena, MT), Western Security Bank (Billings, MT), and Wheatland Bank (Spokane, WA).</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Non-GAAP Financial Measures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in the exhibits within this press release.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or intangible items that the Company believes are not indicative of its primary business operating results.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135"/>
        <w:gridCol w:w="1775"/>
        <w:gridCol w:w="1783"/>
        <w:gridCol w:w="196"/>
        <w:gridCol w:w="961"/>
        <w:gridCol w:w="109"/>
        <w:gridCol w:w="109"/>
        <w:gridCol w:w="109"/>
        <w:gridCol w:w="109"/>
        <w:gridCol w:w="479"/>
        <w:gridCol w:w="482"/>
        <w:gridCol w:w="202"/>
        <w:gridCol w:w="109"/>
        <w:gridCol w:w="109"/>
        <w:gridCol w:w="109"/>
        <w:gridCol w:w="479"/>
        <w:gridCol w:w="482"/>
        <w:gridCol w:w="202"/>
        <w:gridCol w:w="109"/>
        <w:gridCol w:w="157"/>
      </w:tblGrid>
      <w:tr>
        <w:trPr/>
        <w:tc>
          <w:tcPr>
            <w:tcW w:w="213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on hand and in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321,526 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322,253 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cash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913,735 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659,232 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1,385,237 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981,485 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4,172,312 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3,261,575 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7,433,887 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held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17,218,518 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17,008,118 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Premises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486,184 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Right-of-use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120,092 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103,992 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101,337 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122,942 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105,269 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1,051,318 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stock, at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235,090 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191,044 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368,407 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322,836 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27,858,879 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6,100,548 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17,314,591 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17,276,317 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14,533,502 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1,849,070 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32,786 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30,231 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52,869 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295,605 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283,088 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24,571,271 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Preferred shares, $0.01 par value per share, 1,000,000 shares authorized, none issued or outstanding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per share, 234,000,000 shares authorized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3,220,064 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2,449,311 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 - substantially restricted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1,159,567 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1,100,273 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(263,111)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3,287,608 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27,858,879 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Unaudited Condensed Consolidated Statements of Operations</w:t>
      </w:r>
    </w:p>
    <w:p>
      <w:pPr>
        <w:pStyle w:val="TextBody"/>
        <w:bidi w:val="0"/>
        <w:spacing w:before="0" w:after="0"/>
        <w:jc w:val="center"/>
        <w:rPr/>
      </w:pPr>
      <w:r>
        <w:rPr/>
      </w:r>
    </w:p>
    <w:tbl>
      <w:tblPr>
        <w:tblW w:w="8141" w:type="dxa"/>
        <w:jc w:val="left"/>
        <w:tblInd w:w="0" w:type="dxa"/>
        <w:tblLayout w:type="fixed"/>
        <w:tblCellMar>
          <w:top w:w="28" w:type="dxa"/>
          <w:left w:w="28" w:type="dxa"/>
          <w:bottom w:w="28" w:type="dxa"/>
          <w:right w:w="28" w:type="dxa"/>
        </w:tblCellMar>
      </w:tblPr>
      <w:tblGrid>
        <w:gridCol w:w="1340"/>
        <w:gridCol w:w="1181"/>
        <w:gridCol w:w="1184"/>
        <w:gridCol w:w="196"/>
        <w:gridCol w:w="646"/>
        <w:gridCol w:w="109"/>
        <w:gridCol w:w="109"/>
        <w:gridCol w:w="109"/>
        <w:gridCol w:w="109"/>
        <w:gridCol w:w="368"/>
        <w:gridCol w:w="368"/>
        <w:gridCol w:w="221"/>
        <w:gridCol w:w="109"/>
        <w:gridCol w:w="109"/>
        <w:gridCol w:w="109"/>
        <w:gridCol w:w="368"/>
        <w:gridCol w:w="368"/>
        <w:gridCol w:w="221"/>
        <w:gridCol w:w="109"/>
        <w:gridCol w:w="109"/>
        <w:gridCol w:w="109"/>
        <w:gridCol w:w="109"/>
        <w:gridCol w:w="109"/>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Investment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197,388 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372,754 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289,925 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78,407 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106,688 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99,946 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266,066 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189,979 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230,403 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182,165 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40,447 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32,642 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110,999 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194,557 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151,318 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63,489 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and state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63,779 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54,568 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w:t>
      </w:r>
    </w:p>
    <w:tbl>
      <w:tblPr>
        <w:tblW w:w="7942" w:type="dxa"/>
        <w:jc w:val="left"/>
        <w:tblInd w:w="0" w:type="dxa"/>
        <w:tblLayout w:type="fixed"/>
        <w:tblCellMar>
          <w:top w:w="28" w:type="dxa"/>
          <w:left w:w="28" w:type="dxa"/>
          <w:bottom w:w="28" w:type="dxa"/>
          <w:right w:w="28" w:type="dxa"/>
        </w:tblCellMar>
      </w:tblPr>
      <w:tblGrid>
        <w:gridCol w:w="1231"/>
        <w:gridCol w:w="1084"/>
        <w:gridCol w:w="1089"/>
        <w:gridCol w:w="196"/>
        <w:gridCol w:w="961"/>
        <w:gridCol w:w="241"/>
        <w:gridCol w:w="109"/>
        <w:gridCol w:w="109"/>
        <w:gridCol w:w="109"/>
        <w:gridCol w:w="249"/>
        <w:gridCol w:w="712"/>
        <w:gridCol w:w="258"/>
        <w:gridCol w:w="109"/>
        <w:gridCol w:w="109"/>
        <w:gridCol w:w="109"/>
        <w:gridCol w:w="249"/>
        <w:gridCol w:w="712"/>
        <w:gridCol w:w="306"/>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Tangible Equity</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stockholders’ equity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3,287,608 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(1,099,229)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stockholders' equity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2,769,746 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2,188,379 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Tangible Assets </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27,858,879 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(1,099,229)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assets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30,255,329 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30,494,511 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26,759,650 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equity to tangible assets (non-GAAP)</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Book value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book value per share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18" w:type="dxa"/>
        <w:jc w:val="left"/>
        <w:tblInd w:w="0" w:type="dxa"/>
        <w:tblLayout w:type="fixed"/>
        <w:tblCellMar>
          <w:top w:w="28" w:type="dxa"/>
          <w:left w:w="28" w:type="dxa"/>
          <w:bottom w:w="28" w:type="dxa"/>
          <w:right w:w="28" w:type="dxa"/>
        </w:tblCellMar>
      </w:tblPr>
      <w:tblGrid>
        <w:gridCol w:w="1427"/>
        <w:gridCol w:w="1257"/>
        <w:gridCol w:w="1261"/>
        <w:gridCol w:w="196"/>
        <w:gridCol w:w="961"/>
        <w:gridCol w:w="241"/>
        <w:gridCol w:w="109"/>
        <w:gridCol w:w="109"/>
        <w:gridCol w:w="109"/>
        <w:gridCol w:w="480"/>
        <w:gridCol w:w="481"/>
        <w:gridCol w:w="559"/>
        <w:gridCol w:w="109"/>
        <w:gridCol w:w="109"/>
        <w:gridCol w:w="109"/>
        <w:gridCol w:w="480"/>
        <w:gridCol w:w="481"/>
        <w:gridCol w:w="559"/>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Core Net Interest Margin</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interest income (tax equivalent) </w:t>
            </w:r>
            <w:r>
              <w:rPr>
                <w:rFonts w:ascii="Arial Narrow;sans-serif" w:hAnsi="Arial Narrow;sans-serif"/>
                <w:b w:val="false"/>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269,618 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193,400 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Purchase accounting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(4,628)</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(3,361)</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Non-accrual loan (recovery) reversal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income (tax equivalent)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267,201 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264,297 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190,053 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earning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29,842,441 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25,830,807 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margin (non-GAAP)</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$3.7 million, $3.6 million and $3.4 million on tax-exempt municipal loan and lease income, tax-exempt debt securities income and federal income tax credits for the three months ended March 31, 2026 , December 31, 2025, and March 31, 2025, respectively.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8775" w:type="dxa"/>
        <w:jc w:val="left"/>
        <w:tblInd w:w="0" w:type="dxa"/>
        <w:tblLayout w:type="fixed"/>
        <w:tblCellMar>
          <w:top w:w="28" w:type="dxa"/>
          <w:left w:w="28" w:type="dxa"/>
          <w:bottom w:w="28" w:type="dxa"/>
          <w:right w:w="28" w:type="dxa"/>
        </w:tblCellMar>
      </w:tblPr>
      <w:tblGrid>
        <w:gridCol w:w="1470"/>
        <w:gridCol w:w="1294"/>
        <w:gridCol w:w="1301"/>
        <w:gridCol w:w="244"/>
        <w:gridCol w:w="807"/>
        <w:gridCol w:w="122"/>
        <w:gridCol w:w="109"/>
        <w:gridCol w:w="109"/>
        <w:gridCol w:w="109"/>
        <w:gridCol w:w="311"/>
        <w:gridCol w:w="740"/>
        <w:gridCol w:w="150"/>
        <w:gridCol w:w="109"/>
        <w:gridCol w:w="109"/>
        <w:gridCol w:w="109"/>
        <w:gridCol w:w="311"/>
        <w:gridCol w:w="740"/>
        <w:gridCol w:w="150"/>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Diluted Earnings Per Share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adjustments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interest (recovery) reversal</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 proceeds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 terminations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FDIC special assessment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(gain) on fixed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 ACL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impact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adjustments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net income (non-GAAP)</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90,398 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53,341 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diluted commons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130,145,104 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113,546,365 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EPS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diluted EPS (non-GAAP)</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w:t>
      </w:r>
    </w:p>
    <w:tbl>
      <w:tblPr>
        <w:tblW w:w="10205" w:type="dxa"/>
        <w:jc w:val="center"/>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December 31,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17,061,043 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20,992,503 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20,988,722 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29,842,441 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32,488,145 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7,526,159 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24,422,487 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27,896,136 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27,501,959 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28,302,425 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32,488,145 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$1.7 million and $1.6 million on tax-exempt municipal loan and lease income for the three months ended March 31, 2026 and December 31,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$2.0 million and $1.8 million on tax-exempt debt securities income for the three months ended March 31, 2026 and December 31,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4</w:t>
      </w:r>
      <w:r>
        <w:rPr>
          <w:color w:val="000000"/>
        </w:rPr>
        <w:t xml:space="preserve">     </w:t>
      </w:r>
      <w:r>
        <w:rPr>
          <w:rFonts w:ascii="Arial Narrow;sans-serif" w:hAnsi="Arial Narrow;sans-serif"/>
          <w:b w:val="false"/>
          <w:color w:val="000000"/>
          <w:sz w:val="18"/>
        </w:rPr>
        <w:t>Includes interest income of $8.1 million and $11.2 million on average interest-bearing cash balances of $894.0 million and $1.1 billion for the three months ended March 31, 2026 and December 31,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$68 thousand and $151 thousand on federal income tax credits for the three months ended March 31, 2026 and December 31,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 (continued)</w:t>
      </w:r>
    </w:p>
    <w:tbl>
      <w:tblPr>
        <w:tblW w:w="10205" w:type="dxa"/>
        <w:jc w:val="left"/>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14,091,210 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20,992,503 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17,279,394 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25,830,807 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27,779,463 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24,422,487 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20,378,809 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24,185,255 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27,501,959 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27,779,463 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$1.7 million and $1.5 million on tax-exempt municipal loan and lease income for the three months ended March 31,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$2.0 million and $1.7 million on tax-exempt debt securities income for the three months ended March 31,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4 </w:t>
      </w:r>
      <w:r>
        <w:rPr>
          <w:color w:val="000000"/>
        </w:rPr>
        <w:t>    </w:t>
      </w:r>
      <w:r>
        <w:rPr>
          <w:rFonts w:ascii="Arial Narrow;sans-serif" w:hAnsi="Arial Narrow;sans-serif"/>
          <w:b w:val="false"/>
          <w:color w:val="000000"/>
          <w:sz w:val="18"/>
        </w:rPr>
        <w:t>Includes interest income of $8.1 million and $6.1 million on average interest-bearing cash balances of $894.0 million and $559.5 million for the three months ended March 31,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$68 thousand and $150 thousand on federal income tax credits for the three months ended March 31,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Loan Portfolio by Regulatory Classification</w:t>
      </w:r>
    </w:p>
    <w:tbl>
      <w:tblPr>
        <w:tblW w:w="10205" w:type="dxa"/>
        <w:jc w:val="center"/>
        <w:tblInd w:w="0" w:type="dxa"/>
        <w:tblLayout w:type="fixed"/>
        <w:tblCellMar>
          <w:top w:w="28" w:type="dxa"/>
          <w:left w:w="28" w:type="dxa"/>
          <w:bottom w:w="28" w:type="dxa"/>
          <w:right w:w="28" w:type="dxa"/>
        </w:tblCellMar>
      </w:tblPr>
      <w:tblGrid>
        <w:gridCol w:w="1092"/>
        <w:gridCol w:w="934"/>
        <w:gridCol w:w="939"/>
        <w:gridCol w:w="196"/>
        <w:gridCol w:w="961"/>
        <w:gridCol w:w="109"/>
        <w:gridCol w:w="109"/>
        <w:gridCol w:w="109"/>
        <w:gridCol w:w="109"/>
        <w:gridCol w:w="196"/>
        <w:gridCol w:w="961"/>
        <w:gridCol w:w="109"/>
        <w:gridCol w:w="109"/>
        <w:gridCol w:w="109"/>
        <w:gridCol w:w="109"/>
        <w:gridCol w:w="196"/>
        <w:gridCol w:w="961"/>
        <w:gridCol w:w="109"/>
        <w:gridCol w:w="109"/>
        <w:gridCol w:w="145"/>
        <w:gridCol w:w="145"/>
        <w:gridCol w:w="145"/>
        <w:gridCol w:w="145"/>
        <w:gridCol w:w="208"/>
        <w:gridCol w:w="198"/>
        <w:gridCol w:w="338"/>
        <w:gridCol w:w="109"/>
        <w:gridCol w:w="109"/>
        <w:gridCol w:w="109"/>
        <w:gridCol w:w="228"/>
        <w:gridCol w:w="193"/>
        <w:gridCol w:w="339"/>
        <w:gridCol w:w="109"/>
        <w:gridCol w:w="159"/>
      </w:tblGrid>
      <w:tr>
        <w:trPr/>
        <w:tc>
          <w:tcPr>
            <w:tcW w:w="10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Loans Receivable,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1355" w:type="dxa"/>
            <w:gridSpan w:val="8"/>
            <w:tcBorders/>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496,700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434,505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2,009,575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2,026,594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1,365,036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w:t>
            </w: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9,033,798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8,809,899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7,236,696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1,630,625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1,649,101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1,392,365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w:t>
            </w: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1,252,040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1,282,861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1,016,081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3,154,803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3,204,228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2,584,837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w:t>
            </w: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1,068,813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1,019,484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874,071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1,309,200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1,177,431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w:t>
            </w: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States and political subdivisions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945,587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964,591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1,001,058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174,174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176,961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 xml:space="preserve">Total loans receivable, including </w:t>
            </w:r>
          </w:p>
          <w:p>
            <w:pPr>
              <w:pStyle w:val="TableContents"/>
              <w:bidi w:val="0"/>
              <w:spacing w:lineRule="auto" w:line="240" w:before="0" w:after="0"/>
              <w:ind w:left="0" w:right="0" w:hanging="90"/>
              <w:jc w:val="left"/>
              <w:rPr>
                <w:color w:val="000000"/>
              </w:rPr>
            </w:pPr>
            <w:r>
              <w:rPr>
                <w:color w:val="000000"/>
              </w:rPr>
              <w:t>  </w:t>
            </w:r>
            <w:r>
              <w:rPr>
                <w:rFonts w:ascii="Arial Narrow;sans-serif" w:hAnsi="Arial Narrow;sans-serif"/>
                <w:b w:val="false"/>
                <w:color w:val="000000"/>
                <w:sz w:val="20"/>
              </w:rPr>
              <w:t>loans held for sale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21,075,315 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17,259,041 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Less loans held for sale </w:t>
            </w:r>
            <w:r>
              <w:rPr>
                <w:rFonts w:ascii="Arial Narrow;sans-serif" w:hAnsi="Arial Narrow;sans-serif"/>
                <w:b/>
                <w:color w:val="000000"/>
                <w:sz w:val="13"/>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loans receivable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17,218,518 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Arial Narrow;sans-serif" w:hAnsi="Arial Narrow;sans-serif"/>
          <w:b w:val="false"/>
          <w:color w:val="000000"/>
          <w:sz w:val="12"/>
        </w:rPr>
        <w:t>1</w:t>
      </w:r>
      <w:r>
        <w:rPr>
          <w:color w:val="000000"/>
        </w:rPr>
        <w:t xml:space="preserve"> </w:t>
      </w:r>
      <w:r>
        <w:rPr>
          <w:rFonts w:ascii="Arial Narrow;sans-serif" w:hAnsi="Arial Narrow;sans-serif"/>
          <w:b w:val="false"/>
          <w:color w:val="000000"/>
          <w:sz w:val="18"/>
        </w:rPr>
        <w:t>Loans held for sale are primarily first lien 1-4 family loans.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w:t>
      </w:r>
    </w:p>
    <w:tbl>
      <w:tblPr>
        <w:tblW w:w="10205" w:type="dxa"/>
        <w:jc w:val="center"/>
        <w:tblInd w:w="0" w:type="dxa"/>
        <w:tblLayout w:type="fixed"/>
        <w:tblCellMar>
          <w:top w:w="28" w:type="dxa"/>
          <w:left w:w="28" w:type="dxa"/>
          <w:bottom w:w="28" w:type="dxa"/>
          <w:right w:w="28" w:type="dxa"/>
        </w:tblCellMar>
      </w:tblPr>
      <w:tblGrid>
        <w:gridCol w:w="684"/>
        <w:gridCol w:w="407"/>
        <w:gridCol w:w="409"/>
        <w:gridCol w:w="244"/>
        <w:gridCol w:w="806"/>
        <w:gridCol w:w="136"/>
        <w:gridCol w:w="136"/>
        <w:gridCol w:w="136"/>
        <w:gridCol w:w="136"/>
        <w:gridCol w:w="343"/>
        <w:gridCol w:w="318"/>
        <w:gridCol w:w="170"/>
        <w:gridCol w:w="136"/>
        <w:gridCol w:w="136"/>
        <w:gridCol w:w="136"/>
        <w:gridCol w:w="340"/>
        <w:gridCol w:w="321"/>
        <w:gridCol w:w="172"/>
        <w:gridCol w:w="109"/>
        <w:gridCol w:w="631"/>
        <w:gridCol w:w="109"/>
        <w:gridCol w:w="109"/>
        <w:gridCol w:w="109"/>
        <w:gridCol w:w="345"/>
        <w:gridCol w:w="345"/>
        <w:gridCol w:w="346"/>
        <w:gridCol w:w="109"/>
        <w:gridCol w:w="109"/>
        <w:gridCol w:w="109"/>
        <w:gridCol w:w="536"/>
        <w:gridCol w:w="469"/>
        <w:gridCol w:w="471"/>
        <w:gridCol w:w="109"/>
        <w:gridCol w:w="109"/>
        <w:gridCol w:w="109"/>
        <w:gridCol w:w="287"/>
        <w:gridCol w:w="284"/>
        <w:gridCol w:w="235"/>
      </w:tblGrid>
      <w:tr>
        <w:trPr/>
        <w:tc>
          <w:tcPr>
            <w:tcW w:w="6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val="false"/>
                <w:color w:val="000000"/>
                <w:sz w:val="20"/>
              </w:rPr>
              <w:br/>
              <w:t>Non-performing Assets,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w:t>
              <w:br/>
              <w:t>Accrual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90</w:t>
              <w:br/>
              <w:t>Days</w:t>
              <w:br/>
              <w:t>or More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1133"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1,293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1,102</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3,090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1,293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2,030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2,118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1,686</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1,147</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22,677</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11,575</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5,836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21,841</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836</w:t>
            </w: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26,480</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27,308</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12,367</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22,225</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4,144</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111</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6,119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3,549</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2,382</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2,371</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3,748</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9,949 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15,507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17,592</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9,048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11,225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4,167</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115</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395</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400</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4,897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5,197</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4,482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4,168</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492</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237</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59</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79,495 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39,338 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64,415 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1105"/>
        <w:gridCol w:w="966"/>
        <w:gridCol w:w="971"/>
        <w:gridCol w:w="222"/>
        <w:gridCol w:w="732"/>
        <w:gridCol w:w="123"/>
        <w:gridCol w:w="123"/>
        <w:gridCol w:w="123"/>
        <w:gridCol w:w="123"/>
        <w:gridCol w:w="222"/>
        <w:gridCol w:w="732"/>
        <w:gridCol w:w="123"/>
        <w:gridCol w:w="123"/>
        <w:gridCol w:w="123"/>
        <w:gridCol w:w="123"/>
        <w:gridCol w:w="222"/>
        <w:gridCol w:w="732"/>
        <w:gridCol w:w="123"/>
        <w:gridCol w:w="109"/>
        <w:gridCol w:w="148"/>
        <w:gridCol w:w="148"/>
        <w:gridCol w:w="148"/>
        <w:gridCol w:w="148"/>
        <w:gridCol w:w="331"/>
        <w:gridCol w:w="315"/>
        <w:gridCol w:w="344"/>
        <w:gridCol w:w="109"/>
        <w:gridCol w:w="109"/>
        <w:gridCol w:w="109"/>
        <w:gridCol w:w="278"/>
        <w:gridCol w:w="278"/>
        <w:gridCol w:w="345"/>
        <w:gridCol w:w="109"/>
        <w:gridCol w:w="166"/>
      </w:tblGrid>
      <w:tr>
        <w:trPr/>
        <w:tc>
          <w:tcPr>
            <w:tcW w:w="110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 30-89 Days Delinquent Loans,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1503" w:type="dxa"/>
            <w:gridSpan w:val="8"/>
            <w:tcBorders/>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(Dollars in thousands)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786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33</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191</w:t>
            </w: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7,129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13,208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1,247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(46)</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472</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6,102 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31,444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21,491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4,132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661</w:t>
            </w: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11,662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10,215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5,358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118</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4,424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2,390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5,731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(23)</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12,780 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21,983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19,719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15,849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869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479</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8,866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7,281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8,817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States and political subdivisions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3,220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(100)</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3,099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2,650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135</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91,760 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46,458 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Arial Narrow;sans-serif" w:hAnsi="Arial Narrow;sans-serif"/>
          <w:b w:val="false"/>
          <w:color w:val="000000"/>
          <w:sz w:val="18"/>
        </w:rPr>
      </w:pPr>
      <w:r>
        <w:rPr>
          <w:rFonts w:ascii="Arial Narrow;sans-serif" w:hAnsi="Arial Narrow;sans-serif"/>
          <w:b w:val="false"/>
          <w:color w:val="000000"/>
          <w:sz w:val="18"/>
        </w:rPr>
        <w:t>n/m - not measurable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998"/>
        <w:gridCol w:w="831"/>
        <w:gridCol w:w="832"/>
        <w:gridCol w:w="245"/>
        <w:gridCol w:w="694"/>
        <w:gridCol w:w="135"/>
        <w:gridCol w:w="135"/>
        <w:gridCol w:w="135"/>
        <w:gridCol w:w="135"/>
        <w:gridCol w:w="323"/>
        <w:gridCol w:w="323"/>
        <w:gridCol w:w="207"/>
        <w:gridCol w:w="135"/>
        <w:gridCol w:w="135"/>
        <w:gridCol w:w="135"/>
        <w:gridCol w:w="286"/>
        <w:gridCol w:w="285"/>
        <w:gridCol w:w="207"/>
        <w:gridCol w:w="135"/>
        <w:gridCol w:w="135"/>
        <w:gridCol w:w="135"/>
        <w:gridCol w:w="109"/>
        <w:gridCol w:w="991"/>
        <w:gridCol w:w="286"/>
        <w:gridCol w:w="285"/>
        <w:gridCol w:w="207"/>
        <w:gridCol w:w="300"/>
        <w:gridCol w:w="300"/>
        <w:gridCol w:w="301"/>
        <w:gridCol w:w="279"/>
        <w:gridCol w:w="277"/>
        <w:gridCol w:w="289"/>
      </w:tblGrid>
      <w:tr>
        <w:trPr/>
        <w:tc>
          <w:tcPr>
            <w:tcW w:w="99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 (Recoveries), Year-to-Date</w:t>
              <w:br/>
              <w:t>Period Ending, By Loan Type</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Recoveries</w:t>
            </w:r>
          </w:p>
        </w:tc>
        <w:tc>
          <w:tcPr>
            <w:tcW w:w="845" w:type="dxa"/>
            <w:gridSpan w:val="3"/>
            <w:tcBorders/>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(371)</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(344)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2,230</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2,104</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607</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(220)</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121</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54</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1,643</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256</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434</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179</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2,166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7,448</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1,873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3,024</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858</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12,722 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1,124 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480" w:after="283"/>
        <w:jc w:val="both"/>
        <w:rPr/>
      </w:pPr>
      <w:r>
        <w:rPr>
          <w:rFonts w:ascii="Times New Roman;serif" w:hAnsi="Times New Roman;serif"/>
          <w:b w:val="false"/>
          <w:i/>
          <w:color w:val="000000"/>
          <w:sz w:val="24"/>
        </w:rPr>
        <w:t>Visit our website at</w:t>
      </w:r>
      <w:r>
        <w:rPr>
          <w:color w:val="000000"/>
        </w:rPr>
        <w:t xml:space="preserve"> </w:t>
      </w:r>
      <w:r>
        <w:rPr>
          <w:rFonts w:ascii="Times New Roman;serif" w:hAnsi="Times New Roman;serif"/>
          <w:b w:val="false"/>
          <w:i/>
          <w:color w:val="000000"/>
          <w:sz w:val="24"/>
        </w:rPr>
        <w:t>www.glacierbancorp.com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8516</Words>
  <Characters>47463</Characters>
  <CharactersWithSpaces>54914</CharactersWithSpaces>
  <Paragraphs>2596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