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w:t>
      </w:r>
    </w:p>
    <w:p>
      <w:pPr>
        <w:spacing w:after="0" w:line="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5"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w:t>
      </w:r>
    </w:p>
    <w:p>
      <w:pPr>
        <w:spacing w:after="0" w:line="255" w:lineRule="exact"/>
        <w:rPr>
          <w:sz w:val="24"/>
          <w:szCs w:val="24"/>
          <w:color w:val="auto"/>
        </w:rPr>
      </w:pPr>
    </w:p>
    <w:p>
      <w:pPr>
        <w:ind w:left="340" w:right="420" w:hanging="332"/>
        <w:spacing w:after="0" w:line="318" w:lineRule="auto"/>
        <w:tabs>
          <w:tab w:leader="none" w:pos="246"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2026</w:t>
      </w:r>
    </w:p>
    <w:p>
      <w:pPr>
        <w:spacing w:after="0" w:line="113" w:lineRule="exact"/>
        <w:rPr>
          <w:sz w:val="24"/>
          <w:szCs w:val="24"/>
          <w:color w:val="auto"/>
        </w:rPr>
      </w:pPr>
    </w:p>
    <w:p>
      <w:pPr>
        <w:ind w:left="340" w:right="380" w:hanging="332"/>
        <w:spacing w:after="0" w:line="318" w:lineRule="auto"/>
        <w:tabs>
          <w:tab w:leader="none" w:pos="246"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w:t>
      </w:r>
    </w:p>
    <w:p>
      <w:pPr>
        <w:spacing w:after="0" w:line="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Commission file number </w:t>
      </w:r>
      <w:r>
        <w:rPr>
          <w:rFonts w:ascii="Times New Roman" w:cs="Times New Roman" w:eastAsia="Times New Roman" w:hAnsi="Times New Roman"/>
          <w:sz w:val="22"/>
          <w:szCs w:val="22"/>
          <w:b w:val="1"/>
          <w:bCs w:val="1"/>
          <w:u w:val="single" w:color="auto"/>
          <w:color w:val="auto"/>
        </w:rPr>
        <w:t>001-41170</w:t>
      </w:r>
    </w:p>
    <w:p>
      <w:pPr>
        <w:spacing w:after="0" w:line="15"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GLACIER BANCORP, INC.</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w:t>
      </w:r>
    </w:p>
    <w:p>
      <w:pPr>
        <w:spacing w:after="0" w:line="56" w:lineRule="exact"/>
        <w:rPr>
          <w:sz w:val="24"/>
          <w:szCs w:val="24"/>
          <w:color w:val="auto"/>
        </w:rPr>
      </w:pPr>
    </w:p>
    <w:tbl>
      <w:tblPr>
        <w:tblLayout w:type="fixed"/>
        <w:tblInd w:w="960" w:type="dxa"/>
        <w:tblCellMar>
          <w:top w:w="0" w:type="dxa"/>
          <w:left w:w="0" w:type="dxa"/>
          <w:bottom w:w="0" w:type="dxa"/>
          <w:right w:w="0" w:type="dxa"/>
        </w:tblCellMar>
      </w:tblPr>
      <w:tr>
        <w:trPr>
          <w:trHeight w:val="238"/>
        </w:trPr>
        <w:tc>
          <w:tcPr>
            <w:tcW w:w="6360" w:type="dxa"/>
            <w:vAlign w:val="bottom"/>
          </w:tcPr>
          <w:p>
            <w:pPr>
              <w:jc w:val="center"/>
              <w:ind w:right="2579"/>
              <w:spacing w:after="0"/>
              <w:rPr>
                <w:sz w:val="20"/>
                <w:szCs w:val="20"/>
                <w:color w:val="auto"/>
              </w:rPr>
            </w:pPr>
            <w:r>
              <w:rPr>
                <w:rFonts w:ascii="Times New Roman" w:cs="Times New Roman" w:eastAsia="Times New Roman" w:hAnsi="Times New Roman"/>
                <w:sz w:val="18"/>
                <w:szCs w:val="18"/>
                <w:b w:val="1"/>
                <w:bCs w:val="1"/>
                <w:color w:val="auto"/>
                <w:w w:val="99"/>
              </w:rPr>
              <w:t>Montana</w:t>
            </w:r>
          </w:p>
        </w:tc>
        <w:tc>
          <w:tcPr>
            <w:tcW w:w="216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81-0519541</w:t>
            </w:r>
          </w:p>
        </w:tc>
      </w:tr>
      <w:tr>
        <w:trPr>
          <w:trHeight w:val="193"/>
        </w:trPr>
        <w:tc>
          <w:tcPr>
            <w:tcW w:w="6360" w:type="dxa"/>
            <w:vAlign w:val="bottom"/>
          </w:tcPr>
          <w:p>
            <w:pPr>
              <w:jc w:val="center"/>
              <w:ind w:right="257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61"/>
        </w:trPr>
        <w:tc>
          <w:tcPr>
            <w:tcW w:w="6360" w:type="dxa"/>
            <w:vAlign w:val="bottom"/>
          </w:tcPr>
          <w:p>
            <w:pPr>
              <w:jc w:val="right"/>
              <w:ind w:right="2779"/>
              <w:spacing w:after="0"/>
              <w:rPr>
                <w:sz w:val="20"/>
                <w:szCs w:val="20"/>
                <w:color w:val="auto"/>
              </w:rPr>
            </w:pPr>
            <w:r>
              <w:rPr>
                <w:rFonts w:ascii="Times New Roman" w:cs="Times New Roman" w:eastAsia="Times New Roman" w:hAnsi="Times New Roman"/>
                <w:sz w:val="18"/>
                <w:szCs w:val="18"/>
                <w:b w:val="1"/>
                <w:bCs w:val="1"/>
                <w:color w:val="auto"/>
              </w:rPr>
              <w:t>49 Commons Loop  Kalispell,  Montana</w:t>
            </w:r>
          </w:p>
        </w:tc>
        <w:tc>
          <w:tcPr>
            <w:tcW w:w="216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59901</w:t>
            </w:r>
          </w:p>
        </w:tc>
      </w:tr>
      <w:tr>
        <w:trPr>
          <w:trHeight w:val="193"/>
        </w:trPr>
        <w:tc>
          <w:tcPr>
            <w:tcW w:w="6360" w:type="dxa"/>
            <w:vAlign w:val="bottom"/>
          </w:tcPr>
          <w:p>
            <w:pPr>
              <w:jc w:val="center"/>
              <w:ind w:right="25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1"/>
        </w:trPr>
        <w:tc>
          <w:tcPr>
            <w:tcW w:w="6360" w:type="dxa"/>
            <w:vAlign w:val="bottom"/>
          </w:tcPr>
          <w:p>
            <w:pPr>
              <w:jc w:val="right"/>
              <w:ind w:right="919"/>
              <w:spacing w:after="0"/>
              <w:rPr>
                <w:sz w:val="20"/>
                <w:szCs w:val="20"/>
                <w:color w:val="auto"/>
              </w:rPr>
            </w:pPr>
            <w:r>
              <w:rPr>
                <w:rFonts w:ascii="Times New Roman" w:cs="Times New Roman" w:eastAsia="Times New Roman" w:hAnsi="Times New Roman"/>
                <w:sz w:val="18"/>
                <w:szCs w:val="18"/>
                <w:b w:val="1"/>
                <w:bCs w:val="1"/>
                <w:color w:val="auto"/>
              </w:rPr>
              <w:t>(406) 756-4200</w:t>
            </w:r>
          </w:p>
        </w:tc>
        <w:tc>
          <w:tcPr>
            <w:tcW w:w="2160" w:type="dxa"/>
            <w:vAlign w:val="bottom"/>
          </w:tcPr>
          <w:p>
            <w:pPr>
              <w:spacing w:after="0"/>
              <w:rPr>
                <w:sz w:val="24"/>
                <w:szCs w:val="24"/>
                <w:color w:val="auto"/>
              </w:rPr>
            </w:pPr>
          </w:p>
        </w:tc>
      </w:tr>
      <w:tr>
        <w:trPr>
          <w:trHeight w:val="193"/>
        </w:trPr>
        <w:tc>
          <w:tcPr>
            <w:tcW w:w="6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160" w:type="dxa"/>
            <w:vAlign w:val="bottom"/>
          </w:tcPr>
          <w:p>
            <w:pPr>
              <w:spacing w:after="0"/>
              <w:rPr>
                <w:sz w:val="16"/>
                <w:szCs w:val="16"/>
                <w:color w:val="auto"/>
              </w:rPr>
            </w:pPr>
          </w:p>
        </w:tc>
      </w:tr>
    </w:tbl>
    <w:p>
      <w:pPr>
        <w:spacing w:after="0" w:line="163"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7"/>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GBCI</w:t>
            </w:r>
          </w:p>
        </w:tc>
        <w:tc>
          <w:tcPr>
            <w:tcW w:w="4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25"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w:t>
      </w:r>
    </w:p>
    <w:p>
      <w:pPr>
        <w:spacing w:after="0" w:line="123"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w:t>
      </w:r>
    </w:p>
    <w:p>
      <w:pPr>
        <w:spacing w:after="0" w:line="123"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1880" w:type="dxa"/>
        <w:tblCellMar>
          <w:top w:w="0" w:type="dxa"/>
          <w:left w:w="0" w:type="dxa"/>
          <w:bottom w:w="0" w:type="dxa"/>
          <w:right w:w="0" w:type="dxa"/>
        </w:tblCellMar>
      </w:tblP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3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7" w:lineRule="exact"/>
        <w:rPr>
          <w:sz w:val="24"/>
          <w:szCs w:val="24"/>
          <w:color w:val="auto"/>
        </w:rPr>
      </w:pPr>
    </w:p>
    <w:p>
      <w:pPr>
        <w:ind w:right="20"/>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73" w:lineRule="exact"/>
        <w:rPr>
          <w:sz w:val="24"/>
          <w:szCs w:val="24"/>
          <w:color w:val="auto"/>
        </w:rPr>
      </w:pPr>
    </w:p>
    <w:p>
      <w:pPr>
        <w:spacing w:after="0" w:line="219" w:lineRule="exact"/>
        <w:tabs>
          <w:tab w:leader="none" w:pos="89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MS PGothic" w:cs="MS PGothic" w:eastAsia="MS PGothic" w:hAnsi="MS PGothic"/>
          <w:sz w:val="20"/>
          <w:szCs w:val="20"/>
          <w:color w:val="auto"/>
        </w:rPr>
        <w:t xml:space="preserve">☒ </w:t>
      </w:r>
      <w:r>
        <w:rPr>
          <w:rFonts w:ascii="Times New Roman" w:cs="Times New Roman" w:eastAsia="Times New Roman" w:hAnsi="Times New Roman"/>
          <w:sz w:val="17"/>
          <w:szCs w:val="17"/>
          <w:color w:val="auto"/>
        </w:rPr>
        <w:t>No</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Registrant’s common stock outstanding on October 15, 2026 was 130,223,438.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7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80" w:type="dxa"/>
            <w:vAlign w:val="bottom"/>
            <w:gridSpan w:val="10"/>
          </w:tcPr>
          <w:p>
            <w:pPr>
              <w:ind w:left="1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6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4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auto"/>
              </w:rPr>
              <w:t>Item 1 – Financial Statements</w:t>
            </w: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10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Statements of Financial Condition –</w:t>
            </w:r>
          </w:p>
        </w:tc>
        <w:tc>
          <w:tcPr>
            <w:tcW w:w="12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20" w:type="dxa"/>
            <w:vAlign w:val="bottom"/>
            <w:tcBorders>
              <w:top w:val="single" w:sz="8" w:color="0000FF"/>
            </w:tcBorders>
            <w:gridSpan w:val="14"/>
          </w:tcPr>
          <w:p>
            <w:pPr>
              <w:ind w:left="40"/>
              <w:spacing w:after="0" w:line="169" w:lineRule="exact"/>
              <w:rPr>
                <w:sz w:val="20"/>
                <w:szCs w:val="20"/>
                <w:color w:val="auto"/>
              </w:rPr>
            </w:pPr>
            <w:r>
              <w:rPr>
                <w:rFonts w:ascii="Times New Roman" w:cs="Times New Roman" w:eastAsia="Times New Roman" w:hAnsi="Times New Roman"/>
                <w:sz w:val="18"/>
                <w:szCs w:val="18"/>
                <w:color w:val="0000FF"/>
              </w:rPr>
              <w:t>September 30, 2026 and December 31, 2025</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w:t>
            </w:r>
          </w:p>
        </w:tc>
        <w:tc>
          <w:tcPr>
            <w:tcW w:w="12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80" w:type="dxa"/>
            <w:vAlign w:val="bottom"/>
            <w:tcBorders>
              <w:top w:val="single" w:sz="8" w:color="0000FF"/>
            </w:tcBorders>
            <w:gridSpan w:val="11"/>
          </w:tcPr>
          <w:p>
            <w:pPr>
              <w:ind w:left="40"/>
              <w:spacing w:after="0" w:line="169" w:lineRule="exact"/>
              <w:rPr>
                <w:sz w:val="20"/>
                <w:szCs w:val="20"/>
                <w:color w:val="auto"/>
              </w:rPr>
            </w:pPr>
            <w:r>
              <w:rPr>
                <w:rFonts w:ascii="Times New Roman" w:cs="Times New Roman" w:eastAsia="Times New Roman" w:hAnsi="Times New Roman"/>
                <w:sz w:val="18"/>
                <w:szCs w:val="18"/>
                <w:color w:val="0000FF"/>
              </w:rPr>
              <w:t>Three and Nine Months ended September 30, 2026 and 2025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Income –</w:t>
            </w:r>
          </w:p>
        </w:tc>
        <w:tc>
          <w:tcPr>
            <w:tcW w:w="12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00" w:type="dxa"/>
            <w:vAlign w:val="bottom"/>
            <w:tcBorders>
              <w:top w:val="single" w:sz="8" w:color="0000FF"/>
            </w:tcBorders>
            <w:gridSpan w:val="15"/>
          </w:tcPr>
          <w:p>
            <w:pPr>
              <w:ind w:left="40"/>
              <w:spacing w:after="0" w:line="169" w:lineRule="exact"/>
              <w:rPr>
                <w:sz w:val="20"/>
                <w:szCs w:val="20"/>
                <w:color w:val="auto"/>
              </w:rPr>
            </w:pPr>
            <w:r>
              <w:rPr>
                <w:rFonts w:ascii="Times New Roman" w:cs="Times New Roman" w:eastAsia="Times New Roman" w:hAnsi="Times New Roman"/>
                <w:sz w:val="18"/>
                <w:szCs w:val="18"/>
                <w:color w:val="0000FF"/>
              </w:rPr>
              <w:t>Three and Nine Months ended September 30, 2026 and 2025</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Changes in Stockholders’ Equity –</w:t>
            </w:r>
          </w:p>
        </w:tc>
        <w:tc>
          <w:tcPr>
            <w:tcW w:w="12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160" w:type="dxa"/>
            <w:vAlign w:val="bottom"/>
            <w:tcBorders>
              <w:top w:val="single" w:sz="8" w:color="0000FF"/>
            </w:tcBorders>
            <w:gridSpan w:val="16"/>
          </w:tcPr>
          <w:p>
            <w:pPr>
              <w:ind w:left="40"/>
              <w:spacing w:after="0" w:line="169" w:lineRule="exact"/>
              <w:rPr>
                <w:sz w:val="20"/>
                <w:szCs w:val="20"/>
                <w:color w:val="auto"/>
              </w:rPr>
            </w:pPr>
            <w:r>
              <w:rPr>
                <w:rFonts w:ascii="Times New Roman" w:cs="Times New Roman" w:eastAsia="Times New Roman" w:hAnsi="Times New Roman"/>
                <w:sz w:val="18"/>
                <w:szCs w:val="18"/>
                <w:color w:val="0000FF"/>
              </w:rPr>
              <w:t>Three and Nine Months ended September 30, 2026 and 2025</w:t>
            </w:r>
          </w:p>
        </w:tc>
        <w:tc>
          <w:tcPr>
            <w:tcW w:w="6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w:t>
            </w:r>
          </w:p>
        </w:tc>
        <w:tc>
          <w:tcPr>
            <w:tcW w:w="1140" w:type="dxa"/>
            <w:vAlign w:val="bottom"/>
            <w:gridSpan w:val="2"/>
            <w:vMerge w:val="restart"/>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vMerge w:val="restart"/>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20" w:type="dxa"/>
            <w:vAlign w:val="bottom"/>
            <w:tcBorders>
              <w:top w:val="single" w:sz="8" w:color="0000FF"/>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9"/>
              </w:rPr>
              <w:t>Nine Months ended September 30, 2026 and 2025</w:t>
            </w:r>
          </w:p>
        </w:tc>
        <w:tc>
          <w:tcPr>
            <w:tcW w:w="1040" w:type="dxa"/>
            <w:vAlign w:val="bottom"/>
            <w:tcBorders>
              <w:top w:val="single" w:sz="8" w:color="0000FF"/>
            </w:tcBorders>
            <w:gridSpan w:val="4"/>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1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Item 2 – Management’s Discussion and Analysis of Financial Condition and Results of Operations</w:t>
            </w:r>
          </w:p>
        </w:tc>
        <w:tc>
          <w:tcPr>
            <w:tcW w:w="2320" w:type="dxa"/>
            <w:vAlign w:val="bottom"/>
          </w:tcPr>
          <w:p>
            <w:pPr>
              <w:spacing w:after="0"/>
              <w:rPr>
                <w:sz w:val="19"/>
                <w:szCs w:val="19"/>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9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w w:val="99"/>
              </w:rPr>
              <w:t>Item 3 – Quantitative and Qualitative Disclosure about Market Risk</w:t>
            </w:r>
          </w:p>
        </w:tc>
        <w:tc>
          <w:tcPr>
            <w:tcW w:w="2220" w:type="dxa"/>
            <w:vAlign w:val="bottom"/>
            <w:gridSpan w:val="7"/>
          </w:tcPr>
          <w:p>
            <w:pPr>
              <w:spacing w:after="0"/>
              <w:rPr>
                <w:sz w:val="19"/>
                <w:szCs w:val="19"/>
                <w:color w:val="auto"/>
              </w:rPr>
            </w:pPr>
          </w:p>
        </w:tc>
        <w:tc>
          <w:tcPr>
            <w:tcW w:w="2320" w:type="dxa"/>
            <w:vAlign w:val="bottom"/>
          </w:tcPr>
          <w:p>
            <w:pPr>
              <w:spacing w:after="0"/>
              <w:rPr>
                <w:sz w:val="19"/>
                <w:szCs w:val="19"/>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9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Item 4 – Controls and Procedures</w:t>
            </w:r>
          </w:p>
        </w:tc>
        <w:tc>
          <w:tcPr>
            <w:tcW w:w="4540" w:type="dxa"/>
            <w:vAlign w:val="bottom"/>
            <w:gridSpan w:val="8"/>
          </w:tcPr>
          <w:p>
            <w:pPr>
              <w:spacing w:after="0"/>
              <w:rPr>
                <w:sz w:val="19"/>
                <w:szCs w:val="19"/>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4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Item 1 – Legal Proceedings</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Item 1A – Risk Factors</w:t>
            </w:r>
          </w:p>
        </w:tc>
        <w:tc>
          <w:tcPr>
            <w:tcW w:w="7480" w:type="dxa"/>
            <w:vAlign w:val="bottom"/>
            <w:gridSpan w:val="14"/>
          </w:tcPr>
          <w:p>
            <w:pPr>
              <w:spacing w:after="0"/>
              <w:rPr>
                <w:sz w:val="19"/>
                <w:szCs w:val="19"/>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4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Item 2 – Unregistered Sales of Equity Securities and Use of Proceeds</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8"/>
              </w:rPr>
              <w:t>Item 3 – Defaults upon Senior Securities</w:t>
            </w:r>
          </w:p>
        </w:tc>
        <w:tc>
          <w:tcPr>
            <w:tcW w:w="2060" w:type="dxa"/>
            <w:vAlign w:val="bottom"/>
            <w:gridSpan w:val="6"/>
          </w:tcPr>
          <w:p>
            <w:pPr>
              <w:spacing w:after="0"/>
              <w:rPr>
                <w:sz w:val="19"/>
                <w:szCs w:val="19"/>
                <w:color w:val="auto"/>
              </w:rPr>
            </w:pPr>
          </w:p>
        </w:tc>
        <w:tc>
          <w:tcPr>
            <w:tcW w:w="4440" w:type="dxa"/>
            <w:vAlign w:val="bottom"/>
            <w:gridSpan w:val="6"/>
          </w:tcPr>
          <w:p>
            <w:pPr>
              <w:spacing w:after="0"/>
              <w:rPr>
                <w:sz w:val="19"/>
                <w:szCs w:val="19"/>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Item 4 – Mine Safety Disclosures</w:t>
            </w:r>
          </w:p>
        </w:tc>
        <w:tc>
          <w:tcPr>
            <w:tcW w:w="6500" w:type="dxa"/>
            <w:vAlign w:val="bottom"/>
            <w:gridSpan w:val="12"/>
          </w:tcPr>
          <w:p>
            <w:pPr>
              <w:spacing w:after="0"/>
              <w:rPr>
                <w:sz w:val="19"/>
                <w:szCs w:val="19"/>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Item 5 – Other Information</w:t>
            </w:r>
          </w:p>
        </w:tc>
        <w:tc>
          <w:tcPr>
            <w:tcW w:w="7020" w:type="dxa"/>
            <w:vAlign w:val="bottom"/>
            <w:gridSpan w:val="13"/>
          </w:tcPr>
          <w:p>
            <w:pPr>
              <w:spacing w:after="0"/>
              <w:rPr>
                <w:sz w:val="19"/>
                <w:szCs w:val="19"/>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480" w:type="dxa"/>
            <w:vAlign w:val="bottom"/>
            <w:gridSpan w:val="1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7"/>
              </w:rPr>
              <w:t>Item 6 – Exhibits</w:t>
            </w:r>
          </w:p>
        </w:tc>
        <w:tc>
          <w:tcPr>
            <w:tcW w:w="700" w:type="dxa"/>
            <w:vAlign w:val="bottom"/>
            <w:gridSpan w:val="2"/>
          </w:tcPr>
          <w:p>
            <w:pPr>
              <w:spacing w:after="0"/>
              <w:rPr>
                <w:sz w:val="19"/>
                <w:szCs w:val="19"/>
                <w:color w:val="auto"/>
              </w:rPr>
            </w:pPr>
          </w:p>
        </w:tc>
        <w:tc>
          <w:tcPr>
            <w:tcW w:w="7480" w:type="dxa"/>
            <w:vAlign w:val="bottom"/>
            <w:gridSpan w:val="14"/>
          </w:tcPr>
          <w:p>
            <w:pPr>
              <w:spacing w:after="0"/>
              <w:rPr>
                <w:sz w:val="19"/>
                <w:szCs w:val="19"/>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180" w:type="dxa"/>
            <w:vAlign w:val="bottom"/>
            <w:gridSpan w:val="1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8180" w:type="dxa"/>
            <w:vAlign w:val="bottom"/>
            <w:gridSpan w:val="16"/>
          </w:tcPr>
          <w:p>
            <w:pPr>
              <w:spacing w:after="0"/>
              <w:rPr>
                <w:sz w:val="19"/>
                <w:szCs w:val="19"/>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5"/>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2" w:name="page3"/>
    <w:bookmarkEnd w:id="2"/>
    <w:p>
      <w:pPr>
        <w:jc w:val="right"/>
        <w:ind w:right="2959"/>
        <w:spacing w:after="0"/>
        <w:rPr>
          <w:sz w:val="20"/>
          <w:szCs w:val="20"/>
          <w:color w:val="auto"/>
        </w:rPr>
      </w:pPr>
      <w:r>
        <w:rPr>
          <w:rFonts w:ascii="Times New Roman" w:cs="Times New Roman" w:eastAsia="Times New Roman" w:hAnsi="Times New Roman"/>
          <w:sz w:val="22"/>
          <w:szCs w:val="22"/>
          <w:b w:val="1"/>
          <w:bCs w:val="1"/>
          <w:color w:val="auto"/>
        </w:rPr>
        <w:t>ABBREVIATIONS/ACRONYMS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ACL or allowance </w:t>
      </w:r>
      <w:r>
        <w:rPr>
          <w:rFonts w:ascii="Times New Roman" w:cs="Times New Roman" w:eastAsia="Times New Roman" w:hAnsi="Times New Roman"/>
          <w:sz w:val="16"/>
          <w:szCs w:val="16"/>
          <w:color w:val="auto"/>
        </w:rPr>
        <w:t>– allowance for credit losses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AFS - </w:t>
      </w:r>
      <w:r>
        <w:rPr>
          <w:rFonts w:ascii="Times New Roman" w:cs="Times New Roman" w:eastAsia="Times New Roman" w:hAnsi="Times New Roman"/>
          <w:sz w:val="16"/>
          <w:szCs w:val="16"/>
          <w:color w:val="auto"/>
        </w:rPr>
        <w:t>available-for-sale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ALCO </w:t>
      </w:r>
      <w:r>
        <w:rPr>
          <w:rFonts w:ascii="Times New Roman" w:cs="Times New Roman" w:eastAsia="Times New Roman" w:hAnsi="Times New Roman"/>
          <w:sz w:val="16"/>
          <w:szCs w:val="16"/>
          <w:color w:val="auto"/>
        </w:rPr>
        <w:t>– Asset Liability Committee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ASC </w:t>
      </w:r>
      <w:r>
        <w:rPr>
          <w:rFonts w:ascii="Times New Roman" w:cs="Times New Roman" w:eastAsia="Times New Roman" w:hAnsi="Times New Roman"/>
          <w:sz w:val="16"/>
          <w:szCs w:val="16"/>
          <w:color w:val="auto"/>
        </w:rPr>
        <w:t>– Accounting Standards Codification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ASU </w:t>
      </w:r>
      <w:r>
        <w:rPr>
          <w:rFonts w:ascii="Times New Roman" w:cs="Times New Roman" w:eastAsia="Times New Roman" w:hAnsi="Times New Roman"/>
          <w:sz w:val="16"/>
          <w:szCs w:val="16"/>
          <w:color w:val="auto"/>
        </w:rPr>
        <w:t>– Accounting Standards Update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ATM </w:t>
      </w:r>
      <w:r>
        <w:rPr>
          <w:rFonts w:ascii="Times New Roman" w:cs="Times New Roman" w:eastAsia="Times New Roman" w:hAnsi="Times New Roman"/>
          <w:sz w:val="16"/>
          <w:szCs w:val="16"/>
          <w:color w:val="auto"/>
        </w:rPr>
        <w:t>– automated teller machine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Bank </w:t>
      </w:r>
      <w:r>
        <w:rPr>
          <w:rFonts w:ascii="Times New Roman" w:cs="Times New Roman" w:eastAsia="Times New Roman" w:hAnsi="Times New Roman"/>
          <w:sz w:val="16"/>
          <w:szCs w:val="16"/>
          <w:color w:val="auto"/>
        </w:rPr>
        <w:t>– Glacier Bank</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BOID - </w:t>
      </w:r>
      <w:r>
        <w:rPr>
          <w:rFonts w:ascii="Times New Roman" w:cs="Times New Roman" w:eastAsia="Times New Roman" w:hAnsi="Times New Roman"/>
          <w:sz w:val="16"/>
          <w:szCs w:val="16"/>
          <w:color w:val="auto"/>
        </w:rPr>
        <w:t>Bank of Idaho Holding Co. and its wholly owned subsidiary, Bank of Idaho</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CDE </w:t>
      </w:r>
      <w:r>
        <w:rPr>
          <w:rFonts w:ascii="Times New Roman" w:cs="Times New Roman" w:eastAsia="Times New Roman" w:hAnsi="Times New Roman"/>
          <w:sz w:val="16"/>
          <w:szCs w:val="16"/>
          <w:color w:val="auto"/>
        </w:rPr>
        <w:t>– Certified Development Entity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CDFI Fund </w:t>
      </w:r>
      <w:r>
        <w:rPr>
          <w:rFonts w:ascii="Times New Roman" w:cs="Times New Roman" w:eastAsia="Times New Roman" w:hAnsi="Times New Roman"/>
          <w:sz w:val="16"/>
          <w:szCs w:val="16"/>
          <w:color w:val="auto"/>
        </w:rPr>
        <w:t>– Community Development Financial Institutions Fund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CEO </w:t>
      </w:r>
      <w:r>
        <w:rPr>
          <w:rFonts w:ascii="Times New Roman" w:cs="Times New Roman" w:eastAsia="Times New Roman" w:hAnsi="Times New Roman"/>
          <w:sz w:val="16"/>
          <w:szCs w:val="16"/>
          <w:color w:val="auto"/>
        </w:rPr>
        <w:t>– Chief Executive Officer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CFO </w:t>
      </w:r>
      <w:r>
        <w:rPr>
          <w:rFonts w:ascii="Times New Roman" w:cs="Times New Roman" w:eastAsia="Times New Roman" w:hAnsi="Times New Roman"/>
          <w:sz w:val="16"/>
          <w:szCs w:val="16"/>
          <w:color w:val="auto"/>
        </w:rPr>
        <w:t>– Chief Financial Officer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CRE </w:t>
      </w:r>
      <w:r>
        <w:rPr>
          <w:rFonts w:ascii="Times New Roman" w:cs="Times New Roman" w:eastAsia="Times New Roman" w:hAnsi="Times New Roman"/>
          <w:sz w:val="16"/>
          <w:szCs w:val="16"/>
          <w:color w:val="auto"/>
        </w:rPr>
        <w:t>- Commercial real estate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Company </w:t>
      </w:r>
      <w:r>
        <w:rPr>
          <w:rFonts w:ascii="Times New Roman" w:cs="Times New Roman" w:eastAsia="Times New Roman" w:hAnsi="Times New Roman"/>
          <w:sz w:val="16"/>
          <w:szCs w:val="16"/>
          <w:color w:val="auto"/>
        </w:rPr>
        <w:t>– Glacier Bancorp, Inc.</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DDA </w:t>
      </w:r>
      <w:r>
        <w:rPr>
          <w:rFonts w:ascii="Times New Roman" w:cs="Times New Roman" w:eastAsia="Times New Roman" w:hAnsi="Times New Roman"/>
          <w:sz w:val="16"/>
          <w:szCs w:val="16"/>
          <w:color w:val="auto"/>
        </w:rPr>
        <w:t>– demand deposit account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Fannie Mae </w:t>
      </w:r>
      <w:r>
        <w:rPr>
          <w:rFonts w:ascii="Times New Roman" w:cs="Times New Roman" w:eastAsia="Times New Roman" w:hAnsi="Times New Roman"/>
          <w:sz w:val="16"/>
          <w:szCs w:val="16"/>
          <w:color w:val="auto"/>
        </w:rPr>
        <w:t>– Federal National Mortgage Association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FASB </w:t>
      </w:r>
      <w:r>
        <w:rPr>
          <w:rFonts w:ascii="Times New Roman" w:cs="Times New Roman" w:eastAsia="Times New Roman" w:hAnsi="Times New Roman"/>
          <w:sz w:val="16"/>
          <w:szCs w:val="16"/>
          <w:color w:val="auto"/>
        </w:rPr>
        <w:t>– Financial Accounting Standards Board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FDIC </w:t>
      </w:r>
      <w:r>
        <w:rPr>
          <w:rFonts w:ascii="Times New Roman" w:cs="Times New Roman" w:eastAsia="Times New Roman" w:hAnsi="Times New Roman"/>
          <w:sz w:val="16"/>
          <w:szCs w:val="16"/>
          <w:color w:val="auto"/>
        </w:rPr>
        <w:t>– Federal Deposit Insurance Corporation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FHLB </w:t>
      </w:r>
      <w:r>
        <w:rPr>
          <w:rFonts w:ascii="Times New Roman" w:cs="Times New Roman" w:eastAsia="Times New Roman" w:hAnsi="Times New Roman"/>
          <w:sz w:val="16"/>
          <w:szCs w:val="16"/>
          <w:color w:val="auto"/>
        </w:rPr>
        <w:t>– Federal Home Loan Bank</w:t>
      </w:r>
    </w:p>
    <w:p>
      <w:pPr>
        <w:spacing w:after="0" w:line="46" w:lineRule="exact"/>
        <w:rPr>
          <w:sz w:val="20"/>
          <w:szCs w:val="20"/>
          <w:color w:val="auto"/>
        </w:rPr>
      </w:pPr>
    </w:p>
    <w:p>
      <w:pPr>
        <w:ind w:left="80" w:right="3939" w:hanging="80"/>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Final Rules </w:t>
      </w:r>
      <w:r>
        <w:rPr>
          <w:rFonts w:ascii="Times New Roman" w:cs="Times New Roman" w:eastAsia="Times New Roman" w:hAnsi="Times New Roman"/>
          <w:sz w:val="16"/>
          <w:szCs w:val="16"/>
          <w:color w:val="auto"/>
        </w:rPr>
        <w:t>– final rules implemented by the federal banking agencies that established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new comprehensive regulatory capital framework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FRB </w:t>
      </w:r>
      <w:r>
        <w:rPr>
          <w:rFonts w:ascii="Times New Roman" w:cs="Times New Roman" w:eastAsia="Times New Roman" w:hAnsi="Times New Roman"/>
          <w:sz w:val="16"/>
          <w:szCs w:val="16"/>
          <w:color w:val="auto"/>
        </w:rPr>
        <w:t>– Federal Reserve Bank</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Freddie Mac </w:t>
      </w:r>
      <w:r>
        <w:rPr>
          <w:rFonts w:ascii="Times New Roman" w:cs="Times New Roman" w:eastAsia="Times New Roman" w:hAnsi="Times New Roman"/>
          <w:sz w:val="16"/>
          <w:szCs w:val="16"/>
          <w:color w:val="auto"/>
        </w:rPr>
        <w:t>– Federal Home Loan Mortgage Corporation</w:t>
      </w:r>
    </w:p>
    <w:p>
      <w:pPr>
        <w:spacing w:after="0" w:line="46" w:lineRule="exact"/>
        <w:rPr>
          <w:sz w:val="20"/>
          <w:szCs w:val="20"/>
          <w:color w:val="auto"/>
        </w:rPr>
      </w:pPr>
    </w:p>
    <w:p>
      <w:pPr>
        <w:ind w:right="4319"/>
        <w:spacing w:after="0" w:line="299" w:lineRule="auto"/>
        <w:rPr>
          <w:sz w:val="20"/>
          <w:szCs w:val="20"/>
          <w:color w:val="auto"/>
        </w:rPr>
      </w:pPr>
      <w:r>
        <w:rPr>
          <w:rFonts w:ascii="Times New Roman" w:cs="Times New Roman" w:eastAsia="Times New Roman" w:hAnsi="Times New Roman"/>
          <w:sz w:val="16"/>
          <w:szCs w:val="16"/>
          <w:b w:val="1"/>
          <w:bCs w:val="1"/>
          <w:color w:val="auto"/>
        </w:rPr>
        <w:t xml:space="preserve">GAAP </w:t>
      </w:r>
      <w:r>
        <w:rPr>
          <w:rFonts w:ascii="Times New Roman" w:cs="Times New Roman" w:eastAsia="Times New Roman" w:hAnsi="Times New Roman"/>
          <w:sz w:val="16"/>
          <w:szCs w:val="16"/>
          <w:color w:val="auto"/>
        </w:rPr>
        <w:t>– accounting principles generally accepted in the United States of America</w:t>
      </w:r>
      <w:r>
        <w:rPr>
          <w:rFonts w:ascii="Times New Roman" w:cs="Times New Roman" w:eastAsia="Times New Roman" w:hAnsi="Times New Roman"/>
          <w:sz w:val="16"/>
          <w:szCs w:val="16"/>
          <w:b w:val="1"/>
          <w:bCs w:val="1"/>
          <w:color w:val="auto"/>
        </w:rPr>
        <w:t xml:space="preserve"> Ginnie Mae </w:t>
      </w:r>
      <w:r>
        <w:rPr>
          <w:rFonts w:ascii="Times New Roman" w:cs="Times New Roman" w:eastAsia="Times New Roman" w:hAnsi="Times New Roman"/>
          <w:sz w:val="16"/>
          <w:szCs w:val="16"/>
          <w:color w:val="auto"/>
        </w:rPr>
        <w:t>– Government National Mortgage Association</w:t>
      </w:r>
    </w:p>
    <w:p>
      <w:pPr>
        <w:spacing w:after="0" w:line="1" w:lineRule="exact"/>
        <w:rPr>
          <w:sz w:val="20"/>
          <w:szCs w:val="20"/>
          <w:color w:val="auto"/>
        </w:rPr>
      </w:pPr>
    </w:p>
    <w:p>
      <w:pPr>
        <w:ind w:right="3419"/>
        <w:spacing w:after="0" w:line="299" w:lineRule="auto"/>
        <w:rPr>
          <w:sz w:val="20"/>
          <w:szCs w:val="20"/>
          <w:color w:val="auto"/>
        </w:rPr>
      </w:pPr>
      <w:r>
        <w:rPr>
          <w:rFonts w:ascii="Times New Roman" w:cs="Times New Roman" w:eastAsia="Times New Roman" w:hAnsi="Times New Roman"/>
          <w:sz w:val="16"/>
          <w:szCs w:val="16"/>
          <w:b w:val="1"/>
          <w:bCs w:val="1"/>
          <w:color w:val="auto"/>
        </w:rPr>
        <w:t xml:space="preserve">Guaranty </w:t>
      </w:r>
      <w:r>
        <w:rPr>
          <w:rFonts w:ascii="Times New Roman" w:cs="Times New Roman" w:eastAsia="Times New Roman" w:hAnsi="Times New Roman"/>
          <w:sz w:val="16"/>
          <w:szCs w:val="16"/>
          <w:color w:val="auto"/>
        </w:rPr>
        <w:t>- Guaranty Bancshares, Inc. and its wholly owned subsidiary, Guaranty Bank &amp; Trust</w:t>
      </w:r>
      <w:r>
        <w:rPr>
          <w:rFonts w:ascii="Times New Roman" w:cs="Times New Roman" w:eastAsia="Times New Roman" w:hAnsi="Times New Roman"/>
          <w:sz w:val="16"/>
          <w:szCs w:val="16"/>
          <w:b w:val="1"/>
          <w:bCs w:val="1"/>
          <w:color w:val="auto"/>
        </w:rPr>
        <w:t xml:space="preserve"> HTM </w:t>
      </w:r>
      <w:r>
        <w:rPr>
          <w:rFonts w:ascii="Times New Roman" w:cs="Times New Roman" w:eastAsia="Times New Roman" w:hAnsi="Times New Roman"/>
          <w:sz w:val="16"/>
          <w:szCs w:val="16"/>
          <w:color w:val="auto"/>
        </w:rPr>
        <w:t>- Held-to-maturity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Interest rate locks - </w:t>
      </w:r>
      <w:r>
        <w:rPr>
          <w:rFonts w:ascii="Times New Roman" w:cs="Times New Roman" w:eastAsia="Times New Roman" w:hAnsi="Times New Roman"/>
          <w:sz w:val="16"/>
          <w:szCs w:val="16"/>
          <w:color w:val="auto"/>
        </w:rPr>
        <w:t>residential real estate derivatives for commitments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LIHTC </w:t>
      </w:r>
      <w:r>
        <w:rPr>
          <w:rFonts w:ascii="Times New Roman" w:cs="Times New Roman" w:eastAsia="Times New Roman" w:hAnsi="Times New Roman"/>
          <w:sz w:val="16"/>
          <w:szCs w:val="16"/>
          <w:color w:val="auto"/>
        </w:rPr>
        <w:t>– Low-Income Housing Tax Credit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MBFD </w:t>
      </w:r>
      <w:r>
        <w:rPr>
          <w:rFonts w:ascii="Times New Roman" w:cs="Times New Roman" w:eastAsia="Times New Roman" w:hAnsi="Times New Roman"/>
          <w:sz w:val="16"/>
          <w:szCs w:val="16"/>
          <w:color w:val="auto"/>
        </w:rPr>
        <w:t>- Modifications to borrowers experiencing financial difficulty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NMTC </w:t>
      </w:r>
      <w:r>
        <w:rPr>
          <w:rFonts w:ascii="Times New Roman" w:cs="Times New Roman" w:eastAsia="Times New Roman" w:hAnsi="Times New Roman"/>
          <w:sz w:val="16"/>
          <w:szCs w:val="16"/>
          <w:color w:val="auto"/>
        </w:rPr>
        <w:t>– New Markets Tax Credit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NOW </w:t>
      </w:r>
      <w:r>
        <w:rPr>
          <w:rFonts w:ascii="Times New Roman" w:cs="Times New Roman" w:eastAsia="Times New Roman" w:hAnsi="Times New Roman"/>
          <w:sz w:val="16"/>
          <w:szCs w:val="16"/>
          <w:color w:val="auto"/>
        </w:rPr>
        <w:t>– negotiable order of withdrawal</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NRSRO </w:t>
      </w:r>
      <w:r>
        <w:rPr>
          <w:rFonts w:ascii="Times New Roman" w:cs="Times New Roman" w:eastAsia="Times New Roman" w:hAnsi="Times New Roman"/>
          <w:sz w:val="16"/>
          <w:szCs w:val="16"/>
          <w:color w:val="auto"/>
        </w:rPr>
        <w:t>– Nationally Recognized Statistical Rating Organizations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OCI </w:t>
      </w:r>
      <w:r>
        <w:rPr>
          <w:rFonts w:ascii="Times New Roman" w:cs="Times New Roman" w:eastAsia="Times New Roman" w:hAnsi="Times New Roman"/>
          <w:sz w:val="16"/>
          <w:szCs w:val="16"/>
          <w:color w:val="auto"/>
        </w:rPr>
        <w:t>– other comprehensive income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OREO </w:t>
      </w:r>
      <w:r>
        <w:rPr>
          <w:rFonts w:ascii="Times New Roman" w:cs="Times New Roman" w:eastAsia="Times New Roman" w:hAnsi="Times New Roman"/>
          <w:sz w:val="16"/>
          <w:szCs w:val="16"/>
          <w:color w:val="auto"/>
        </w:rPr>
        <w:t>– other real estate owned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PCD </w:t>
      </w:r>
      <w:r>
        <w:rPr>
          <w:rFonts w:ascii="Times New Roman" w:cs="Times New Roman" w:eastAsia="Times New Roman" w:hAnsi="Times New Roman"/>
          <w:sz w:val="16"/>
          <w:szCs w:val="16"/>
          <w:color w:val="auto"/>
        </w:rPr>
        <w:t>– purchased credit-deteriorated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Repurchase agreements </w:t>
      </w:r>
      <w:r>
        <w:rPr>
          <w:rFonts w:ascii="Times New Roman" w:cs="Times New Roman" w:eastAsia="Times New Roman" w:hAnsi="Times New Roman"/>
          <w:sz w:val="16"/>
          <w:szCs w:val="16"/>
          <w:color w:val="auto"/>
        </w:rPr>
        <w:t>– securities sold under agreements to repurchase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ROU </w:t>
      </w:r>
      <w:r>
        <w:rPr>
          <w:rFonts w:ascii="Times New Roman" w:cs="Times New Roman" w:eastAsia="Times New Roman" w:hAnsi="Times New Roman"/>
          <w:sz w:val="16"/>
          <w:szCs w:val="16"/>
          <w:color w:val="auto"/>
        </w:rPr>
        <w:t>– right-of-use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S&amp;P </w:t>
      </w:r>
      <w:r>
        <w:rPr>
          <w:rFonts w:ascii="Times New Roman" w:cs="Times New Roman" w:eastAsia="Times New Roman" w:hAnsi="Times New Roman"/>
          <w:sz w:val="16"/>
          <w:szCs w:val="16"/>
          <w:color w:val="auto"/>
        </w:rPr>
        <w:t>– Standard and Poor’s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 </w:t>
      </w:r>
      <w:r>
        <w:rPr>
          <w:rFonts w:ascii="Times New Roman" w:cs="Times New Roman" w:eastAsia="Times New Roman" w:hAnsi="Times New Roman"/>
          <w:sz w:val="16"/>
          <w:szCs w:val="16"/>
          <w:color w:val="auto"/>
        </w:rPr>
        <w:t>– United States Securities and Exchange Commission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SOFR </w:t>
      </w:r>
      <w:r>
        <w:rPr>
          <w:rFonts w:ascii="Times New Roman" w:cs="Times New Roman" w:eastAsia="Times New Roman" w:hAnsi="Times New Roman"/>
          <w:sz w:val="16"/>
          <w:szCs w:val="16"/>
          <w:color w:val="auto"/>
        </w:rPr>
        <w:t>– Secured Overnight Financing Rate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TBA </w:t>
      </w:r>
      <w:r>
        <w:rPr>
          <w:rFonts w:ascii="Times New Roman" w:cs="Times New Roman" w:eastAsia="Times New Roman" w:hAnsi="Times New Roman"/>
          <w:sz w:val="16"/>
          <w:szCs w:val="16"/>
          <w:color w:val="auto"/>
        </w:rPr>
        <w:t>– to-be-announced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VIE </w:t>
      </w:r>
      <w:r>
        <w:rPr>
          <w:rFonts w:ascii="Times New Roman" w:cs="Times New Roman" w:eastAsia="Times New Roman" w:hAnsi="Times New Roman"/>
          <w:sz w:val="16"/>
          <w:szCs w:val="16"/>
          <w:color w:val="auto"/>
        </w:rPr>
        <w:t>– variable interest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1012190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59"/>
          </w:cols>
          <w:pgMar w:left="800" w:top="101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GLACIER BANCORP,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CONDENSED CONSOLIDATED STATEMENTS OF FINANCIAL CONDITION</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w:t>
            </w: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r>
      <w:tr>
        <w:trPr>
          <w:trHeight w:val="180"/>
        </w:trPr>
        <w:tc>
          <w:tcPr>
            <w:tcW w:w="20" w:type="dxa"/>
            <w:vAlign w:val="bottom"/>
          </w:tcPr>
          <w:p>
            <w:pPr>
              <w:spacing w:after="0"/>
              <w:rPr>
                <w:sz w:val="15"/>
                <w:szCs w:val="15"/>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 except share and per share data)</w:t>
            </w:r>
          </w:p>
        </w:tc>
        <w:tc>
          <w:tcPr>
            <w:tcW w:w="200" w:type="dxa"/>
            <w:vAlign w:val="bottom"/>
          </w:tcPr>
          <w:p>
            <w:pPr>
              <w:spacing w:after="0"/>
              <w:rPr>
                <w:sz w:val="15"/>
                <w:szCs w:val="15"/>
                <w:color w:val="auto"/>
              </w:rPr>
            </w:pPr>
          </w:p>
        </w:tc>
        <w:tc>
          <w:tcPr>
            <w:tcW w:w="1440" w:type="dxa"/>
            <w:vAlign w:val="bottom"/>
          </w:tcPr>
          <w:p>
            <w:pPr>
              <w:jc w:val="right"/>
              <w:ind w:right="550"/>
              <w:spacing w:after="0" w:line="160"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5"/>
                <w:szCs w:val="15"/>
                <w:color w:val="auto"/>
              </w:rPr>
            </w:pPr>
          </w:p>
        </w:tc>
        <w:tc>
          <w:tcPr>
            <w:tcW w:w="1640" w:type="dxa"/>
            <w:vAlign w:val="bottom"/>
          </w:tcPr>
          <w:p>
            <w:pPr>
              <w:jc w:val="right"/>
              <w:ind w:right="550"/>
              <w:spacing w:after="0" w:line="160"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3140" w:type="dxa"/>
            <w:vAlign w:val="bottom"/>
            <w:tcBorders>
              <w:top w:val="single" w:sz="8" w:color="auto"/>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on hand and in banks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290,640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321,526</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bearing cash deposits</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1,216,141</w:t>
            </w:r>
          </w:p>
        </w:tc>
        <w:tc>
          <w:tcPr>
            <w:tcW w:w="12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913,735</w:t>
            </w:r>
          </w:p>
        </w:tc>
      </w:tr>
      <w:tr>
        <w:trPr>
          <w:trHeight w:val="237"/>
        </w:trPr>
        <w:tc>
          <w:tcPr>
            <w:tcW w:w="20" w:type="dxa"/>
            <w:vAlign w:val="bottom"/>
          </w:tcPr>
          <w:p>
            <w:pPr>
              <w:spacing w:after="0"/>
              <w:rPr>
                <w:sz w:val="20"/>
                <w:szCs w:val="20"/>
                <w:color w:val="auto"/>
              </w:rPr>
            </w:pPr>
          </w:p>
        </w:tc>
        <w:tc>
          <w:tcPr>
            <w:tcW w:w="7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1,506,781</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1,235,261</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securities, available-for-sale</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3,595,063</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4,007,512</w:t>
            </w:r>
          </w:p>
        </w:tc>
      </w:tr>
      <w:tr>
        <w:trPr>
          <w:trHeight w:val="243"/>
        </w:trPr>
        <w:tc>
          <w:tcPr>
            <w:tcW w:w="20" w:type="dxa"/>
            <w:vAlign w:val="bottom"/>
            <w:tcBorders>
              <w:bottom w:val="single" w:sz="8" w:color="CCEEFF"/>
            </w:tcBorders>
          </w:tcPr>
          <w:p>
            <w:pPr>
              <w:spacing w:after="0"/>
              <w:rPr>
                <w:sz w:val="21"/>
                <w:szCs w:val="21"/>
                <w:color w:val="auto"/>
              </w:rPr>
            </w:pPr>
          </w:p>
        </w:tc>
        <w:tc>
          <w:tcPr>
            <w:tcW w:w="7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Debt securities, held-to-maturity</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2,817,933</w:t>
            </w:r>
          </w:p>
        </w:tc>
        <w:tc>
          <w:tcPr>
            <w:tcW w:w="12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3,110,216</w:t>
            </w:r>
          </w:p>
        </w:tc>
      </w:tr>
      <w:tr>
        <w:trPr>
          <w:trHeight w:val="237"/>
        </w:trPr>
        <w:tc>
          <w:tcPr>
            <w:tcW w:w="20" w:type="dxa"/>
            <w:vAlign w:val="bottom"/>
            <w:shd w:val="clear" w:color="auto" w:fill="CCEEFF"/>
          </w:tcPr>
          <w:p>
            <w:pPr>
              <w:spacing w:after="0"/>
              <w:rPr>
                <w:sz w:val="20"/>
                <w:szCs w:val="20"/>
                <w:color w:val="auto"/>
              </w:rPr>
            </w:pPr>
          </w:p>
        </w:tc>
        <w:tc>
          <w:tcPr>
            <w:tcW w:w="7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debt securities</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6,412,996</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7,117,728</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39,186</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receivable</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21,619,530</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20,927,796</w:t>
            </w:r>
          </w:p>
        </w:tc>
      </w:tr>
      <w:tr>
        <w:trPr>
          <w:trHeight w:val="243"/>
        </w:trPr>
        <w:tc>
          <w:tcPr>
            <w:tcW w:w="20" w:type="dxa"/>
            <w:vAlign w:val="bottom"/>
            <w:tcBorders>
              <w:bottom w:val="single" w:sz="8" w:color="CCEEFF"/>
            </w:tcBorders>
          </w:tcPr>
          <w:p>
            <w:pPr>
              <w:spacing w:after="0"/>
              <w:rPr>
                <w:sz w:val="21"/>
                <w:szCs w:val="21"/>
                <w:color w:val="auto"/>
              </w:rPr>
            </w:pPr>
          </w:p>
        </w:tc>
        <w:tc>
          <w:tcPr>
            <w:tcW w:w="7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(259,668)</w:t>
            </w:r>
          </w:p>
        </w:tc>
        <w:tc>
          <w:tcPr>
            <w:tcW w:w="12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(255,319)</w:t>
            </w:r>
          </w:p>
        </w:tc>
      </w:tr>
      <w:tr>
        <w:trPr>
          <w:trHeight w:val="237"/>
        </w:trPr>
        <w:tc>
          <w:tcPr>
            <w:tcW w:w="20" w:type="dxa"/>
            <w:vAlign w:val="bottom"/>
            <w:shd w:val="clear" w:color="auto" w:fill="CCEEFF"/>
          </w:tcPr>
          <w:p>
            <w:pPr>
              <w:spacing w:after="0"/>
              <w:rPr>
                <w:sz w:val="20"/>
                <w:szCs w:val="20"/>
                <w:color w:val="auto"/>
              </w:rPr>
            </w:pPr>
          </w:p>
        </w:tc>
        <w:tc>
          <w:tcPr>
            <w:tcW w:w="7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Loans receivable, net</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21,359,862</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20,672,477</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497,590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486,184</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Right-of-use assets, net</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73,983</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75,574</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real estate owned and foreclosed assets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131,863</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120,092</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tax asset, net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115,077</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101,337</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Intangibles, net</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90,873</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105,269</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1,378,283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1,378,283</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 Home Loan Bank stock, at cost</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42,764</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Bank-owned life insurance</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237,496</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235,090</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421,864</w:t>
            </w:r>
          </w:p>
        </w:tc>
        <w:tc>
          <w:tcPr>
            <w:tcW w:w="12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368,407</w:t>
            </w:r>
          </w:p>
        </w:tc>
      </w:tr>
      <w:tr>
        <w:trPr>
          <w:trHeight w:val="236"/>
        </w:trPr>
        <w:tc>
          <w:tcPr>
            <w:tcW w:w="20" w:type="dxa"/>
            <w:vAlign w:val="bottom"/>
          </w:tcPr>
          <w:p>
            <w:pPr>
              <w:spacing w:after="0"/>
              <w:rPr>
                <w:sz w:val="20"/>
                <w:szCs w:val="20"/>
                <w:color w:val="auto"/>
              </w:rPr>
            </w:pPr>
          </w:p>
        </w:tc>
        <w:tc>
          <w:tcPr>
            <w:tcW w:w="7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32,290,804</w:t>
            </w:r>
          </w:p>
        </w:tc>
        <w:tc>
          <w:tcPr>
            <w:tcW w:w="12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31,978,063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7,702,429</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7,314,779</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17,570,308</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17,276,317</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1,954,925</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2,084,113</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borrowed funds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51,473</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30,559</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28,808</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Subordinated debentures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174,113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187,492</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32,871</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32,786</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50,039</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52,869</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383,955</w:t>
            </w:r>
          </w:p>
        </w:tc>
        <w:tc>
          <w:tcPr>
            <w:tcW w:w="12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295,605</w:t>
            </w:r>
          </w:p>
        </w:tc>
      </w:tr>
      <w:tr>
        <w:trPr>
          <w:trHeight w:val="236"/>
        </w:trPr>
        <w:tc>
          <w:tcPr>
            <w:tcW w:w="20" w:type="dxa"/>
            <w:vAlign w:val="bottom"/>
            <w:tcBorders>
              <w:bottom w:val="single" w:sz="8" w:color="CCEEFF"/>
            </w:tcBorders>
          </w:tcPr>
          <w:p>
            <w:pPr>
              <w:spacing w:after="0"/>
              <w:rPr>
                <w:sz w:val="20"/>
                <w:szCs w:val="20"/>
                <w:color w:val="auto"/>
              </w:rPr>
            </w:pPr>
          </w:p>
        </w:tc>
        <w:tc>
          <w:tcPr>
            <w:tcW w:w="78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27,950,943</w:t>
            </w:r>
          </w:p>
        </w:tc>
        <w:tc>
          <w:tcPr>
            <w:tcW w:w="1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27,764,242</w:t>
            </w:r>
          </w:p>
        </w:tc>
      </w:tr>
      <w:tr>
        <w:trPr>
          <w:trHeight w:val="237"/>
        </w:trPr>
        <w:tc>
          <w:tcPr>
            <w:tcW w:w="20" w:type="dxa"/>
            <w:vAlign w:val="bottom"/>
            <w:shd w:val="clear" w:color="auto" w:fill="CCEEFF"/>
          </w:tcPr>
          <w:p>
            <w:pPr>
              <w:spacing w:after="0"/>
              <w:rPr>
                <w:sz w:val="20"/>
                <w:szCs w:val="20"/>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w:t>
            </w:r>
          </w:p>
        </w:tc>
        <w:tc>
          <w:tcPr>
            <w:tcW w:w="2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shares, $0.01 par value per share, 1,000,000 shares authorized, none issued or outstanding</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782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234,000,000 shares authorized at</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September 30, 2026 and December 31, 2025, respectively</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3,232,684</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3,220,064</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1,312,211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1,159,567</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(206,336)</w:t>
            </w:r>
          </w:p>
        </w:tc>
        <w:tc>
          <w:tcPr>
            <w:tcW w:w="12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(167,110)</w:t>
            </w:r>
          </w:p>
        </w:tc>
      </w:tr>
      <w:tr>
        <w:trPr>
          <w:trHeight w:val="236"/>
        </w:trPr>
        <w:tc>
          <w:tcPr>
            <w:tcW w:w="20" w:type="dxa"/>
            <w:vAlign w:val="bottom"/>
            <w:tcBorders>
              <w:bottom w:val="single" w:sz="8" w:color="CCEEFF"/>
            </w:tcBorders>
          </w:tcPr>
          <w:p>
            <w:pPr>
              <w:spacing w:after="0"/>
              <w:rPr>
                <w:sz w:val="20"/>
                <w:szCs w:val="20"/>
                <w:color w:val="auto"/>
              </w:rPr>
            </w:pPr>
          </w:p>
        </w:tc>
        <w:tc>
          <w:tcPr>
            <w:tcW w:w="78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4,339,861</w:t>
            </w:r>
          </w:p>
        </w:tc>
        <w:tc>
          <w:tcPr>
            <w:tcW w:w="1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4,213,821</w:t>
            </w: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782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32,290,804</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31,978,063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common stock shares issued and outstanding</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130,218,983</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129,971,712</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004"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GLACIER BANCORP,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CONDENSED CONSOLIDATED STATEMENTS OF OPERATIONS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1"/>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740" w:type="dxa"/>
            <w:vAlign w:val="bottom"/>
            <w:gridSpan w:val="2"/>
          </w:tcPr>
          <w:p>
            <w:pPr>
              <w:ind w:left="30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16"/>
                <w:szCs w:val="16"/>
                <w:color w:val="auto"/>
              </w:rPr>
            </w:pPr>
          </w:p>
        </w:tc>
        <w:tc>
          <w:tcPr>
            <w:tcW w:w="138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44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September 30,</w:t>
            </w:r>
          </w:p>
        </w:tc>
      </w:tr>
      <w:tr>
        <w:trPr>
          <w:trHeight w:val="180"/>
        </w:trPr>
        <w:tc>
          <w:tcPr>
            <w:tcW w:w="20" w:type="dxa"/>
            <w:vAlign w:val="bottom"/>
          </w:tcPr>
          <w:p>
            <w:pPr>
              <w:spacing w:after="0"/>
              <w:rPr>
                <w:sz w:val="15"/>
                <w:szCs w:val="15"/>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 except share and per share data)</w:t>
            </w:r>
          </w:p>
        </w:tc>
        <w:tc>
          <w:tcPr>
            <w:tcW w:w="200" w:type="dxa"/>
            <w:vAlign w:val="bottom"/>
          </w:tcPr>
          <w:p>
            <w:pPr>
              <w:spacing w:after="0"/>
              <w:rPr>
                <w:sz w:val="15"/>
                <w:szCs w:val="15"/>
                <w:color w:val="auto"/>
              </w:rPr>
            </w:pPr>
          </w:p>
        </w:tc>
        <w:tc>
          <w:tcPr>
            <w:tcW w:w="1420" w:type="dxa"/>
            <w:vAlign w:val="bottom"/>
          </w:tcPr>
          <w:p>
            <w:pPr>
              <w:jc w:val="right"/>
              <w:ind w:right="530"/>
              <w:spacing w:after="0" w:line="160"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5"/>
                <w:szCs w:val="15"/>
                <w:color w:val="auto"/>
              </w:rPr>
            </w:pPr>
          </w:p>
        </w:tc>
        <w:tc>
          <w:tcPr>
            <w:tcW w:w="1640" w:type="dxa"/>
            <w:vAlign w:val="bottom"/>
          </w:tcPr>
          <w:p>
            <w:pPr>
              <w:jc w:val="right"/>
              <w:ind w:right="550"/>
              <w:spacing w:after="0" w:line="160"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450"/>
              <w:spacing w:after="0" w:line="160"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5"/>
                <w:szCs w:val="15"/>
                <w:color w:val="auto"/>
              </w:rPr>
            </w:pPr>
          </w:p>
        </w:tc>
        <w:tc>
          <w:tcPr>
            <w:tcW w:w="1440" w:type="dxa"/>
            <w:vAlign w:val="bottom"/>
          </w:tcPr>
          <w:p>
            <w:pPr>
              <w:jc w:val="right"/>
              <w:ind w:right="450"/>
              <w:spacing w:after="0" w:line="160"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3140" w:type="dxa"/>
            <w:vAlign w:val="bottom"/>
            <w:tcBorders>
              <w:top w:val="single" w:sz="8" w:color="auto"/>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Investment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132,980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135,142</w:t>
            </w: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real estate loans</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29,655</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93,467</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75,971</w:t>
            </w:r>
          </w:p>
        </w:tc>
      </w:tr>
      <w:tr>
        <w:trPr>
          <w:trHeight w:val="243"/>
        </w:trPr>
        <w:tc>
          <w:tcPr>
            <w:tcW w:w="20" w:type="dxa"/>
            <w:vAlign w:val="bottom"/>
          </w:tcPr>
          <w:p>
            <w:pPr>
              <w:spacing w:after="0"/>
              <w:rPr>
                <w:sz w:val="21"/>
                <w:szCs w:val="21"/>
                <w:color w:val="auto"/>
              </w:rPr>
            </w:pPr>
          </w:p>
        </w:tc>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Commercial loans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279,000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803,739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640,567</w:t>
            </w: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Consumer and other loans</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26,361</w:t>
            </w:r>
          </w:p>
        </w:tc>
        <w:tc>
          <w:tcPr>
            <w:tcW w:w="12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77,351</w:t>
            </w:r>
          </w:p>
        </w:tc>
        <w:tc>
          <w:tcPr>
            <w:tcW w:w="1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71,363</w:t>
            </w:r>
          </w:p>
        </w:tc>
      </w:tr>
      <w:tr>
        <w:trPr>
          <w:trHeight w:val="237"/>
        </w:trPr>
        <w:tc>
          <w:tcPr>
            <w:tcW w:w="20" w:type="dxa"/>
            <w:vAlign w:val="bottom"/>
            <w:tcBorders>
              <w:bottom w:val="single" w:sz="8" w:color="CCEEFF"/>
            </w:tcBorders>
          </w:tcPr>
          <w:p>
            <w:pPr>
              <w:spacing w:after="0"/>
              <w:rPr>
                <w:sz w:val="20"/>
                <w:szCs w:val="20"/>
                <w:color w:val="auto"/>
              </w:rPr>
            </w:pPr>
          </w:p>
        </w:tc>
        <w:tc>
          <w:tcPr>
            <w:tcW w:w="476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interest income</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379,980</w:t>
            </w:r>
          </w:p>
        </w:tc>
        <w:tc>
          <w:tcPr>
            <w:tcW w:w="1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325,003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1,107,537</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923,043</w:t>
            </w: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217,084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195,780</w:t>
            </w: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42,548</w:t>
            </w:r>
          </w:p>
        </w:tc>
      </w:tr>
      <w:tr>
        <w:trPr>
          <w:trHeight w:val="243"/>
        </w:trPr>
        <w:tc>
          <w:tcPr>
            <w:tcW w:w="20" w:type="dxa"/>
            <w:vAlign w:val="bottom"/>
          </w:tcPr>
          <w:p>
            <w:pPr>
              <w:spacing w:after="0"/>
              <w:rPr>
                <w:sz w:val="21"/>
                <w:szCs w:val="21"/>
                <w:color w:val="auto"/>
              </w:rPr>
            </w:pPr>
          </w:p>
        </w:tc>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20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52,796</w:t>
            </w: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borrowed funds</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43"/>
        </w:trPr>
        <w:tc>
          <w:tcPr>
            <w:tcW w:w="20" w:type="dxa"/>
            <w:vAlign w:val="bottom"/>
            <w:tcBorders>
              <w:bottom w:val="single" w:sz="8" w:color="CCEEFF"/>
            </w:tcBorders>
          </w:tcPr>
          <w:p>
            <w:pPr>
              <w:spacing w:after="0"/>
              <w:rPr>
                <w:sz w:val="21"/>
                <w:szCs w:val="21"/>
                <w:color w:val="auto"/>
              </w:rPr>
            </w:pPr>
          </w:p>
        </w:tc>
        <w:tc>
          <w:tcPr>
            <w:tcW w:w="4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Subordinated debentures</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2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7,758</w:t>
            </w:r>
          </w:p>
        </w:tc>
      </w:tr>
      <w:tr>
        <w:trPr>
          <w:trHeight w:val="237"/>
        </w:trPr>
        <w:tc>
          <w:tcPr>
            <w:tcW w:w="20" w:type="dxa"/>
            <w:vAlign w:val="bottom"/>
            <w:shd w:val="clear" w:color="auto" w:fill="CCEEFF"/>
          </w:tcPr>
          <w:p>
            <w:pPr>
              <w:spacing w:after="0"/>
              <w:rPr>
                <w:sz w:val="20"/>
                <w:szCs w:val="20"/>
                <w:color w:val="auto"/>
              </w:rPr>
            </w:pPr>
          </w:p>
        </w:tc>
        <w:tc>
          <w:tcPr>
            <w:tcW w:w="47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interest expense</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90,084</w:t>
            </w:r>
          </w:p>
        </w:tc>
        <w:tc>
          <w:tcPr>
            <w:tcW w:w="120" w:type="dxa"/>
            <w:vAlign w:val="bottom"/>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272,536</w:t>
            </w:r>
          </w:p>
        </w:tc>
        <w:tc>
          <w:tcPr>
            <w:tcW w:w="100" w:type="dxa"/>
            <w:vAlign w:val="bottom"/>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300,069</w:t>
            </w:r>
          </w:p>
        </w:tc>
      </w:tr>
      <w:tr>
        <w:trPr>
          <w:trHeight w:val="237"/>
        </w:trPr>
        <w:tc>
          <w:tcPr>
            <w:tcW w:w="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289,896</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835,001</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622,974</w:t>
            </w: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2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17,528</w:t>
            </w:r>
          </w:p>
        </w:tc>
        <w:tc>
          <w:tcPr>
            <w:tcW w:w="1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35,737</w:t>
            </w:r>
          </w:p>
        </w:tc>
      </w:tr>
      <w:tr>
        <w:trPr>
          <w:trHeight w:val="237"/>
        </w:trPr>
        <w:tc>
          <w:tcPr>
            <w:tcW w:w="20" w:type="dxa"/>
            <w:vAlign w:val="bottom"/>
            <w:tcBorders>
              <w:bottom w:val="single" w:sz="8" w:color="CCEEFF"/>
            </w:tcBorders>
          </w:tcPr>
          <w:p>
            <w:pPr>
              <w:spacing w:after="0"/>
              <w:rPr>
                <w:sz w:val="20"/>
                <w:szCs w:val="20"/>
                <w:color w:val="auto"/>
              </w:rPr>
            </w:pPr>
          </w:p>
        </w:tc>
        <w:tc>
          <w:tcPr>
            <w:tcW w:w="476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284,787</w:t>
            </w:r>
          </w:p>
        </w:tc>
        <w:tc>
          <w:tcPr>
            <w:tcW w:w="1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817,473</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587,237</w:t>
            </w: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Deposit service charges and other fees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17,187</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41,801</w:t>
            </w: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services</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35,461</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30,736</w:t>
            </w:r>
          </w:p>
        </w:tc>
      </w:tr>
      <w:tr>
        <w:trPr>
          <w:trHeight w:val="243"/>
        </w:trPr>
        <w:tc>
          <w:tcPr>
            <w:tcW w:w="20" w:type="dxa"/>
            <w:vAlign w:val="bottom"/>
          </w:tcPr>
          <w:p>
            <w:pPr>
              <w:spacing w:after="0"/>
              <w:rPr>
                <w:sz w:val="21"/>
                <w:szCs w:val="21"/>
                <w:color w:val="auto"/>
              </w:rPr>
            </w:pPr>
          </w:p>
        </w:tc>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Miscellaneous loan fees and charges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w:t>
            </w: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loans</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14,869</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13,611</w:t>
            </w:r>
          </w:p>
        </w:tc>
      </w:tr>
      <w:tr>
        <w:trPr>
          <w:trHeight w:val="243"/>
        </w:trPr>
        <w:tc>
          <w:tcPr>
            <w:tcW w:w="20" w:type="dxa"/>
            <w:vAlign w:val="bottom"/>
          </w:tcPr>
          <w:p>
            <w:pPr>
              <w:spacing w:after="0"/>
              <w:rPr>
                <w:sz w:val="21"/>
                <w:szCs w:val="21"/>
                <w:color w:val="auto"/>
              </w:rPr>
            </w:pPr>
          </w:p>
        </w:tc>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(loss) on sale of securities</w:t>
            </w:r>
          </w:p>
        </w:tc>
        <w:tc>
          <w:tcPr>
            <w:tcW w:w="20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2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1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w:t>
            </w:r>
          </w:p>
        </w:tc>
      </w:tr>
      <w:tr>
        <w:trPr>
          <w:trHeight w:val="237"/>
        </w:trPr>
        <w:tc>
          <w:tcPr>
            <w:tcW w:w="20" w:type="dxa"/>
            <w:vAlign w:val="bottom"/>
            <w:tcBorders>
              <w:bottom w:val="single" w:sz="8" w:color="CCEEFF"/>
            </w:tcBorders>
          </w:tcPr>
          <w:p>
            <w:pPr>
              <w:spacing w:after="0"/>
              <w:rPr>
                <w:sz w:val="20"/>
                <w:szCs w:val="20"/>
                <w:color w:val="auto"/>
              </w:rPr>
            </w:pPr>
          </w:p>
        </w:tc>
        <w:tc>
          <w:tcPr>
            <w:tcW w:w="476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39,941</w:t>
            </w:r>
          </w:p>
        </w:tc>
        <w:tc>
          <w:tcPr>
            <w:tcW w:w="1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119,124</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100,938</w:t>
            </w: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352,730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282,296</w:t>
            </w: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Occupancy and equipment</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16,072</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47,415</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38,088</w:t>
            </w:r>
          </w:p>
        </w:tc>
      </w:tr>
      <w:tr>
        <w:trPr>
          <w:trHeight w:val="243"/>
        </w:trPr>
        <w:tc>
          <w:tcPr>
            <w:tcW w:w="20" w:type="dxa"/>
            <w:vAlign w:val="bottom"/>
          </w:tcPr>
          <w:p>
            <w:pPr>
              <w:spacing w:after="0"/>
              <w:rPr>
                <w:sz w:val="21"/>
                <w:szCs w:val="21"/>
                <w:color w:val="auto"/>
              </w:rPr>
            </w:pPr>
          </w:p>
        </w:tc>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Advertising and promotions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w:t>
            </w: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processing</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37,893</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29,655</w:t>
            </w:r>
          </w:p>
        </w:tc>
      </w:tr>
      <w:tr>
        <w:trPr>
          <w:trHeight w:val="243"/>
        </w:trPr>
        <w:tc>
          <w:tcPr>
            <w:tcW w:w="20" w:type="dxa"/>
            <w:vAlign w:val="bottom"/>
          </w:tcPr>
          <w:p>
            <w:pPr>
              <w:spacing w:after="0"/>
              <w:rPr>
                <w:sz w:val="21"/>
                <w:szCs w:val="21"/>
                <w:color w:val="auto"/>
              </w:rPr>
            </w:pPr>
          </w:p>
        </w:tc>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real estate owned and foreclosed assets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Regulatory assessments and insurance</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16,963</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r>
      <w:tr>
        <w:trPr>
          <w:trHeight w:val="243"/>
        </w:trPr>
        <w:tc>
          <w:tcPr>
            <w:tcW w:w="20" w:type="dxa"/>
            <w:vAlign w:val="bottom"/>
          </w:tcPr>
          <w:p>
            <w:pPr>
              <w:spacing w:after="0"/>
              <w:rPr>
                <w:sz w:val="21"/>
                <w:szCs w:val="21"/>
                <w:color w:val="auto"/>
              </w:rPr>
            </w:pPr>
          </w:p>
        </w:tc>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Intangibles amortization</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10,707</w:t>
            </w: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12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93,896</w:t>
            </w:r>
          </w:p>
        </w:tc>
        <w:tc>
          <w:tcPr>
            <w:tcW w:w="1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82,984</w:t>
            </w:r>
          </w:p>
        </w:tc>
      </w:tr>
      <w:tr>
        <w:trPr>
          <w:trHeight w:val="237"/>
        </w:trPr>
        <w:tc>
          <w:tcPr>
            <w:tcW w:w="20" w:type="dxa"/>
            <w:vAlign w:val="bottom"/>
            <w:tcBorders>
              <w:bottom w:val="single" w:sz="8" w:color="CCEEFF"/>
            </w:tcBorders>
          </w:tcPr>
          <w:p>
            <w:pPr>
              <w:spacing w:after="0"/>
              <w:rPr>
                <w:sz w:val="20"/>
                <w:szCs w:val="20"/>
                <w:color w:val="auto"/>
              </w:rPr>
            </w:pPr>
          </w:p>
        </w:tc>
        <w:tc>
          <w:tcPr>
            <w:tcW w:w="476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191,884</w:t>
            </w:r>
          </w:p>
        </w:tc>
        <w:tc>
          <w:tcPr>
            <w:tcW w:w="1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167,783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579,113</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474,220</w:t>
            </w:r>
          </w:p>
        </w:tc>
      </w:tr>
      <w:tr>
        <w:trPr>
          <w:trHeight w:val="236"/>
        </w:trPr>
        <w:tc>
          <w:tcPr>
            <w:tcW w:w="20" w:type="dxa"/>
            <w:vAlign w:val="bottom"/>
            <w:shd w:val="clear" w:color="auto" w:fill="CCEEFF"/>
          </w:tcPr>
          <w:p>
            <w:pPr>
              <w:spacing w:after="0"/>
              <w:rPr>
                <w:sz w:val="20"/>
                <w:szCs w:val="20"/>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132,844</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357,484</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213,955</w:t>
            </w:r>
          </w:p>
        </w:tc>
      </w:tr>
      <w:tr>
        <w:trPr>
          <w:trHeight w:val="243"/>
        </w:trPr>
        <w:tc>
          <w:tcPr>
            <w:tcW w:w="20" w:type="dxa"/>
            <w:vAlign w:val="bottom"/>
            <w:tcBorders>
              <w:bottom w:val="single" w:sz="8" w:color="CCEEFF"/>
            </w:tcBorders>
          </w:tcPr>
          <w:p>
            <w:pPr>
              <w:spacing w:after="0"/>
              <w:rPr>
                <w:sz w:val="21"/>
                <w:szCs w:val="21"/>
                <w:color w:val="auto"/>
              </w:rPr>
            </w:pPr>
          </w:p>
        </w:tc>
        <w:tc>
          <w:tcPr>
            <w:tcW w:w="4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Federal and state income tax expense</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28,282</w:t>
            </w:r>
          </w:p>
        </w:tc>
        <w:tc>
          <w:tcPr>
            <w:tcW w:w="12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72,916</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38,706</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104,562</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284,568</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3"/>
        </w:trPr>
        <w:tc>
          <w:tcPr>
            <w:tcW w:w="20" w:type="dxa"/>
            <w:vAlign w:val="bottom"/>
          </w:tcPr>
          <w:p>
            <w:pPr>
              <w:spacing w:after="0"/>
              <w:rPr>
                <w:sz w:val="21"/>
                <w:szCs w:val="21"/>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outstanding shares - basic</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130,214,868</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118,552,231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130,145,667</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116,316,754</w:t>
            </w:r>
          </w:p>
        </w:tc>
      </w:tr>
      <w:tr>
        <w:trPr>
          <w:trHeight w:val="243"/>
        </w:trPr>
        <w:tc>
          <w:tcPr>
            <w:tcW w:w="20" w:type="dxa"/>
            <w:vAlign w:val="bottom"/>
          </w:tcPr>
          <w:p>
            <w:pPr>
              <w:spacing w:after="0"/>
              <w:rPr>
                <w:sz w:val="21"/>
                <w:szCs w:val="21"/>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outstanding shares - diluted</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130,433,235</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118,628,434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130,324,260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116,382,822</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0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type w:val="continuous"/>
        </w:sectPr>
      </w:pPr>
    </w:p>
    <w:bookmarkStart w:id="5" w:name="page6"/>
    <w:bookmarkEnd w:id="5"/>
    <w:p>
      <w:pPr>
        <w:spacing w:after="0" w:line="29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color w:val="auto"/>
        </w:rPr>
        <w:t>GLACIER BANCORP, INC.</w:t>
      </w:r>
    </w:p>
    <w:p>
      <w:pPr>
        <w:spacing w:after="0" w:line="3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b w:val="1"/>
          <w:bCs w:val="1"/>
          <w:color w:val="auto"/>
        </w:rPr>
        <w:t>UNAUDITED CONDENSED CONSOLIDATED STATEMENTS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COMPREHENSIVE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740" w:type="dxa"/>
            <w:vAlign w:val="bottom"/>
            <w:gridSpan w:val="2"/>
          </w:tcPr>
          <w:p>
            <w:pPr>
              <w:ind w:left="30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15"/>
                <w:szCs w:val="15"/>
                <w:color w:val="auto"/>
              </w:rPr>
            </w:pPr>
          </w:p>
        </w:tc>
        <w:tc>
          <w:tcPr>
            <w:tcW w:w="138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44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September 30,</w:t>
            </w:r>
          </w:p>
        </w:tc>
      </w:tr>
      <w:tr>
        <w:trPr>
          <w:trHeight w:val="189"/>
        </w:trPr>
        <w:tc>
          <w:tcPr>
            <w:tcW w:w="20" w:type="dxa"/>
            <w:vAlign w:val="bottom"/>
          </w:tcPr>
          <w:p>
            <w:pPr>
              <w:spacing w:after="0"/>
              <w:rPr>
                <w:sz w:val="16"/>
                <w:szCs w:val="16"/>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144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64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440" w:type="dxa"/>
            <w:vAlign w:val="bottom"/>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104,562</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284,568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175,249</w:t>
            </w:r>
          </w:p>
        </w:tc>
      </w:tr>
      <w:tr>
        <w:trPr>
          <w:trHeight w:val="243"/>
        </w:trPr>
        <w:tc>
          <w:tcPr>
            <w:tcW w:w="20" w:type="dxa"/>
            <w:vAlign w:val="bottom"/>
          </w:tcPr>
          <w:p>
            <w:pPr>
              <w:spacing w:after="0"/>
              <w:rPr>
                <w:sz w:val="21"/>
                <w:szCs w:val="21"/>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and Transferred Securities: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Unrealized (losses) gains on available-for-sale securities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(43,117)</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151,468</w:t>
            </w:r>
          </w:p>
        </w:tc>
      </w:tr>
      <w:tr>
        <w:trPr>
          <w:trHeight w:val="189"/>
        </w:trPr>
        <w:tc>
          <w:tcPr>
            <w:tcW w:w="20" w:type="dxa"/>
            <w:vAlign w:val="bottom"/>
            <w:shd w:val="clear" w:color="auto" w:fill="CCEEFF"/>
          </w:tcPr>
          <w:p>
            <w:pPr>
              <w:spacing w:after="0"/>
              <w:rPr>
                <w:sz w:val="16"/>
                <w:szCs w:val="16"/>
                <w:color w:val="auto"/>
              </w:rPr>
            </w:pPr>
          </w:p>
        </w:tc>
        <w:tc>
          <w:tcPr>
            <w:tcW w:w="476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Reclassification adjustment for securities transferred from</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available-for-sale to held-to-maturity</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w:t>
            </w:r>
          </w:p>
        </w:tc>
      </w:tr>
      <w:tr>
        <w:trPr>
          <w:trHeight w:val="243"/>
        </w:trPr>
        <w:tc>
          <w:tcPr>
            <w:tcW w:w="20" w:type="dxa"/>
            <w:vAlign w:val="bottom"/>
            <w:tcBorders>
              <w:bottom w:val="single" w:sz="8" w:color="CCEEFF"/>
            </w:tcBorders>
          </w:tcPr>
          <w:p>
            <w:pPr>
              <w:spacing w:after="0"/>
              <w:rPr>
                <w:sz w:val="21"/>
                <w:szCs w:val="21"/>
                <w:color w:val="auto"/>
              </w:rPr>
            </w:pPr>
          </w:p>
        </w:tc>
        <w:tc>
          <w:tcPr>
            <w:tcW w:w="4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Tax effect</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1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(38,816)</w:t>
            </w:r>
          </w:p>
        </w:tc>
      </w:tr>
      <w:tr>
        <w:trPr>
          <w:trHeight w:val="237"/>
        </w:trPr>
        <w:tc>
          <w:tcPr>
            <w:tcW w:w="20" w:type="dxa"/>
            <w:vAlign w:val="bottom"/>
            <w:shd w:val="clear" w:color="auto" w:fill="CCEEFF"/>
          </w:tcPr>
          <w:p>
            <w:pPr>
              <w:spacing w:after="0"/>
              <w:rPr>
                <w:sz w:val="20"/>
                <w:szCs w:val="20"/>
                <w:color w:val="auto"/>
              </w:rPr>
            </w:pPr>
          </w:p>
        </w:tc>
        <w:tc>
          <w:tcPr>
            <w:tcW w:w="4760" w:type="dxa"/>
            <w:vAlign w:val="bottom"/>
            <w:gridSpan w:val="2"/>
            <w:shd w:val="clear" w:color="auto" w:fill="CCEEFF"/>
          </w:tcPr>
          <w:p>
            <w:pPr>
              <w:jc w:val="right"/>
              <w:ind w:right="2800"/>
              <w:spacing w:after="0"/>
              <w:rPr>
                <w:sz w:val="20"/>
                <w:szCs w:val="20"/>
                <w:color w:val="auto"/>
              </w:rPr>
            </w:pPr>
            <w:r>
              <w:rPr>
                <w:rFonts w:ascii="Times New Roman" w:cs="Times New Roman" w:eastAsia="Times New Roman" w:hAnsi="Times New Roman"/>
                <w:sz w:val="18"/>
                <w:szCs w:val="18"/>
                <w:color w:val="auto"/>
              </w:rPr>
              <w:t>Net of tax amount</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(31,592)</w:t>
            </w:r>
          </w:p>
        </w:tc>
        <w:tc>
          <w:tcPr>
            <w:tcW w:w="100" w:type="dxa"/>
            <w:vAlign w:val="bottom"/>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(34,821)</w:t>
            </w:r>
          </w:p>
        </w:tc>
        <w:tc>
          <w:tcPr>
            <w:tcW w:w="100" w:type="dxa"/>
            <w:vAlign w:val="bottom"/>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116,946</w:t>
            </w:r>
          </w:p>
        </w:tc>
      </w:tr>
      <w:tr>
        <w:trPr>
          <w:trHeight w:val="223"/>
        </w:trPr>
        <w:tc>
          <w:tcPr>
            <w:tcW w:w="20" w:type="dxa"/>
            <w:vAlign w:val="bottom"/>
          </w:tcPr>
          <w:p>
            <w:pPr>
              <w:spacing w:after="0"/>
              <w:rPr>
                <w:sz w:val="19"/>
                <w:szCs w:val="19"/>
                <w:color w:val="auto"/>
              </w:rPr>
            </w:pPr>
          </w:p>
        </w:tc>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Fair Value Hedge:</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derivatives used for fair value hedges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Borders>
              <w:bottom w:val="single" w:sz="8" w:color="CCEEFF"/>
            </w:tcBorders>
          </w:tcPr>
          <w:p>
            <w:pPr>
              <w:spacing w:after="0"/>
              <w:rPr>
                <w:sz w:val="21"/>
                <w:szCs w:val="21"/>
                <w:color w:val="auto"/>
              </w:rPr>
            </w:pPr>
          </w:p>
        </w:tc>
        <w:tc>
          <w:tcPr>
            <w:tcW w:w="4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Tax effect</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0" w:type="dxa"/>
            <w:vAlign w:val="bottom"/>
            <w:shd w:val="clear" w:color="auto" w:fill="CCEEFF"/>
          </w:tcPr>
          <w:p>
            <w:pPr>
              <w:spacing w:after="0"/>
              <w:rPr>
                <w:sz w:val="20"/>
                <w:szCs w:val="20"/>
                <w:color w:val="auto"/>
              </w:rPr>
            </w:pPr>
          </w:p>
        </w:tc>
        <w:tc>
          <w:tcPr>
            <w:tcW w:w="4760" w:type="dxa"/>
            <w:vAlign w:val="bottom"/>
            <w:gridSpan w:val="2"/>
            <w:shd w:val="clear" w:color="auto" w:fill="CCEEFF"/>
          </w:tcPr>
          <w:p>
            <w:pPr>
              <w:jc w:val="right"/>
              <w:ind w:right="2800"/>
              <w:spacing w:after="0"/>
              <w:rPr>
                <w:sz w:val="20"/>
                <w:szCs w:val="20"/>
                <w:color w:val="auto"/>
              </w:rPr>
            </w:pPr>
            <w:r>
              <w:rPr>
                <w:rFonts w:ascii="Times New Roman" w:cs="Times New Roman" w:eastAsia="Times New Roman" w:hAnsi="Times New Roman"/>
                <w:sz w:val="18"/>
                <w:szCs w:val="18"/>
                <w:color w:val="auto"/>
              </w:rPr>
              <w:t>Net of tax amount</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Flow Hedge:</w:t>
            </w: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losses on derivatives used for cash flow hedges</w:t>
            </w:r>
          </w:p>
        </w:tc>
        <w:tc>
          <w:tcPr>
            <w:tcW w:w="2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189"/>
        </w:trPr>
        <w:tc>
          <w:tcPr>
            <w:tcW w:w="20" w:type="dxa"/>
            <w:vAlign w:val="bottom"/>
          </w:tcPr>
          <w:p>
            <w:pPr>
              <w:spacing w:after="0"/>
              <w:rPr>
                <w:sz w:val="16"/>
                <w:szCs w:val="16"/>
                <w:color w:val="auto"/>
              </w:rPr>
            </w:pPr>
          </w:p>
        </w:tc>
        <w:tc>
          <w:tcPr>
            <w:tcW w:w="476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rPr>
              <w:t>Amount of losses reclassified from other comprehensive</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4760" w:type="dxa"/>
            <w:vAlign w:val="bottom"/>
            <w:gridSpan w:val="2"/>
          </w:tcPr>
          <w:p>
            <w:pPr>
              <w:jc w:val="right"/>
              <w:ind w:right="2800"/>
              <w:spacing w:after="0"/>
              <w:rPr>
                <w:sz w:val="20"/>
                <w:szCs w:val="20"/>
                <w:color w:val="auto"/>
              </w:rPr>
            </w:pPr>
            <w:r>
              <w:rPr>
                <w:rFonts w:ascii="Times New Roman" w:cs="Times New Roman" w:eastAsia="Times New Roman" w:hAnsi="Times New Roman"/>
                <w:sz w:val="18"/>
                <w:szCs w:val="18"/>
                <w:color w:val="auto"/>
              </w:rPr>
              <w:t>income to net income</w:t>
            </w:r>
          </w:p>
        </w:tc>
        <w:tc>
          <w:tcPr>
            <w:tcW w:w="20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effect</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6"/>
        </w:trPr>
        <w:tc>
          <w:tcPr>
            <w:tcW w:w="20" w:type="dxa"/>
            <w:vAlign w:val="bottom"/>
          </w:tcPr>
          <w:p>
            <w:pPr>
              <w:spacing w:after="0"/>
              <w:rPr>
                <w:sz w:val="20"/>
                <w:szCs w:val="20"/>
                <w:color w:val="auto"/>
              </w:rPr>
            </w:pPr>
          </w:p>
        </w:tc>
        <w:tc>
          <w:tcPr>
            <w:tcW w:w="4760" w:type="dxa"/>
            <w:vAlign w:val="bottom"/>
            <w:gridSpan w:val="2"/>
          </w:tcPr>
          <w:p>
            <w:pPr>
              <w:jc w:val="right"/>
              <w:ind w:right="2800"/>
              <w:spacing w:after="0"/>
              <w:rPr>
                <w:sz w:val="20"/>
                <w:szCs w:val="20"/>
                <w:color w:val="auto"/>
              </w:rPr>
            </w:pPr>
            <w:r>
              <w:rPr>
                <w:rFonts w:ascii="Times New Roman" w:cs="Times New Roman" w:eastAsia="Times New Roman" w:hAnsi="Times New Roman"/>
                <w:sz w:val="18"/>
                <w:szCs w:val="18"/>
                <w:color w:val="auto"/>
              </w:rPr>
              <w:t>Net of tax amount</w:t>
            </w:r>
          </w:p>
        </w:tc>
        <w:tc>
          <w:tcPr>
            <w:tcW w:w="2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4760" w:type="dxa"/>
            <w:vAlign w:val="bottom"/>
            <w:tcBorders>
              <w:top w:val="single" w:sz="8" w:color="CCEEFF"/>
            </w:tcBorders>
            <w:gridSpan w:val="2"/>
            <w:shd w:val="clear" w:color="auto" w:fill="CCEEFF"/>
          </w:tcPr>
          <w:p>
            <w:pPr>
              <w:ind w:left="1100"/>
              <w:spacing w:after="0" w:line="169" w:lineRule="exact"/>
              <w:rPr>
                <w:sz w:val="20"/>
                <w:szCs w:val="20"/>
                <w:color w:val="auto"/>
              </w:rPr>
            </w:pPr>
            <w:r>
              <w:rPr>
                <w:rFonts w:ascii="Times New Roman" w:cs="Times New Roman" w:eastAsia="Times New Roman" w:hAnsi="Times New Roman"/>
                <w:sz w:val="18"/>
                <w:szCs w:val="18"/>
                <w:color w:val="auto"/>
              </w:rPr>
              <w:t>Total other comprehensive (loss) income, net of</w:t>
            </w:r>
          </w:p>
        </w:tc>
        <w:tc>
          <w:tcPr>
            <w:tcW w:w="20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r>
      <w:tr>
        <w:trPr>
          <w:trHeight w:val="243"/>
        </w:trPr>
        <w:tc>
          <w:tcPr>
            <w:tcW w:w="2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tax</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(35,042)</w:t>
            </w: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(39,226)</w:t>
            </w:r>
          </w:p>
        </w:tc>
        <w:tc>
          <w:tcPr>
            <w:tcW w:w="1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116,406</w:t>
            </w:r>
          </w:p>
        </w:tc>
      </w:tr>
      <w:tr>
        <w:trPr>
          <w:trHeight w:val="237"/>
        </w:trPr>
        <w:tc>
          <w:tcPr>
            <w:tcW w:w="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69,520</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113,665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245,342</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291,655</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ind w:left="4400"/>
        <w:spacing w:after="0"/>
        <w:rPr>
          <w:sz w:val="20"/>
          <w:szCs w:val="20"/>
          <w:color w:val="auto"/>
        </w:rPr>
      </w:pPr>
      <w:r>
        <w:rPr>
          <w:rFonts w:ascii="Times New Roman" w:cs="Times New Roman" w:eastAsia="Times New Roman" w:hAnsi="Times New Roman"/>
          <w:sz w:val="20"/>
          <w:szCs w:val="20"/>
          <w:b w:val="1"/>
          <w:bCs w:val="1"/>
          <w:color w:val="auto"/>
        </w:rPr>
        <w:t>GLACIER BANCORP, INC.</w:t>
      </w:r>
    </w:p>
    <w:p>
      <w:pPr>
        <w:spacing w:after="0" w:line="3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b w:val="1"/>
          <w:bCs w:val="1"/>
          <w:color w:val="auto"/>
        </w:rPr>
        <w:t>UNAUDITED CONDENSED CONSOLIDATED STATEMENTS OF CHANGES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STOCKHOLDERS’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Three Months ended September 30, 2026 and 2025</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5"/>
            <w:vMerge w:val="restart"/>
          </w:tcPr>
          <w:p>
            <w:pPr>
              <w:ind w:left="720"/>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Retained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Accumulated</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(Dollars in thousands, except share and per share</w:t>
            </w:r>
          </w:p>
        </w:tc>
        <w:tc>
          <w:tcPr>
            <w:tcW w:w="2660" w:type="dxa"/>
            <w:vAlign w:val="bottom"/>
            <w:gridSpan w:val="5"/>
            <w:vMerge w:val="continue"/>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8"/>
              </w:rPr>
              <w:t>Other Compre-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140" w:type="dxa"/>
            <w:vAlign w:val="bottom"/>
            <w:gridSpan w:val="3"/>
            <w:vMerge w:val="continue"/>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Borders>
              <w:top w:val="single" w:sz="8" w:color="auto"/>
            </w:tcBorders>
            <w:gridSpan w:val="2"/>
          </w:tcPr>
          <w:p>
            <w:pPr>
              <w:spacing w:after="0" w:line="135" w:lineRule="exact"/>
              <w:rPr>
                <w:sz w:val="20"/>
                <w:szCs w:val="20"/>
                <w:color w:val="auto"/>
              </w:rPr>
            </w:pPr>
            <w:r>
              <w:rPr>
                <w:rFonts w:ascii="Times New Roman" w:cs="Times New Roman" w:eastAsia="Times New Roman" w:hAnsi="Times New Roman"/>
                <w:sz w:val="14"/>
                <w:szCs w:val="14"/>
                <w:color w:val="auto"/>
              </w:rPr>
              <w:t>data)</w:t>
            </w:r>
          </w:p>
        </w:tc>
        <w:tc>
          <w:tcPr>
            <w:tcW w:w="320" w:type="dxa"/>
            <w:vAlign w:val="bottom"/>
          </w:tcPr>
          <w:p>
            <w:pPr>
              <w:spacing w:after="0"/>
              <w:rPr>
                <w:sz w:val="11"/>
                <w:szCs w:val="11"/>
                <w:color w:val="auto"/>
              </w:rPr>
            </w:pPr>
          </w:p>
        </w:tc>
        <w:tc>
          <w:tcPr>
            <w:tcW w:w="134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5"/>
                <w:szCs w:val="15"/>
                <w:color w:val="auto"/>
              </w:rPr>
              <w:t>Shares</w:t>
            </w:r>
          </w:p>
        </w:tc>
        <w:tc>
          <w:tcPr>
            <w:tcW w:w="220" w:type="dxa"/>
            <w:vAlign w:val="bottom"/>
          </w:tcPr>
          <w:p>
            <w:pPr>
              <w:spacing w:after="0"/>
              <w:rPr>
                <w:sz w:val="11"/>
                <w:szCs w:val="11"/>
                <w:color w:val="auto"/>
              </w:rPr>
            </w:pPr>
          </w:p>
        </w:tc>
        <w:tc>
          <w:tcPr>
            <w:tcW w:w="11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5"/>
                <w:szCs w:val="15"/>
                <w:color w:val="auto"/>
              </w:rPr>
              <w:t>Amount</w:t>
            </w:r>
          </w:p>
        </w:tc>
        <w:tc>
          <w:tcPr>
            <w:tcW w:w="13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5"/>
                <w:szCs w:val="15"/>
                <w:color w:val="auto"/>
              </w:rPr>
              <w:t>Paid-in Capital</w:t>
            </w:r>
          </w:p>
        </w:tc>
        <w:tc>
          <w:tcPr>
            <w:tcW w:w="1420" w:type="dxa"/>
            <w:vAlign w:val="bottom"/>
            <w:gridSpan w:val="2"/>
          </w:tcPr>
          <w:p>
            <w:pPr>
              <w:ind w:left="340"/>
              <w:spacing w:after="0" w:line="135" w:lineRule="exact"/>
              <w:rPr>
                <w:sz w:val="20"/>
                <w:szCs w:val="20"/>
                <w:color w:val="auto"/>
              </w:rPr>
            </w:pPr>
            <w:r>
              <w:rPr>
                <w:rFonts w:ascii="Times New Roman" w:cs="Times New Roman" w:eastAsia="Times New Roman" w:hAnsi="Times New Roman"/>
                <w:sz w:val="15"/>
                <w:szCs w:val="15"/>
                <w:color w:val="auto"/>
              </w:rPr>
              <w:t>Earnings</w:t>
            </w:r>
          </w:p>
        </w:tc>
        <w:tc>
          <w:tcPr>
            <w:tcW w:w="14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5"/>
                <w:szCs w:val="15"/>
                <w:color w:val="auto"/>
              </w:rPr>
              <w:t>hensive Loss</w:t>
            </w:r>
          </w:p>
        </w:tc>
        <w:tc>
          <w:tcPr>
            <w:tcW w:w="1220" w:type="dxa"/>
            <w:vAlign w:val="bottom"/>
          </w:tcPr>
          <w:p>
            <w:pPr>
              <w:jc w:val="right"/>
              <w:ind w:right="351"/>
              <w:spacing w:after="0" w:line="135" w:lineRule="exact"/>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1, 2025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118,550,475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2,655,894</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1,113,839</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(238,655)</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3,532,264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67,900</w:t>
            </w: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45,765</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dividends declared ($0.33 per share)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(39,216)</w:t>
            </w: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(39,216)</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1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issuances under stock incentive</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plans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and related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62"/>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31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118,552,847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2,657,469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1,142,523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(192,890)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3,608,288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July 1, 2026</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140" w:type="dxa"/>
            <w:vAlign w:val="bottom"/>
            <w:gridSpan w:val="3"/>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130,202,054</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3,229,635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1,253,379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(171,294)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4,313,022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104,562</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(35,042)</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($0.35 per share)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(45,730)</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Stock issuances under stock incentive</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plans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1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and related</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130,218,983</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3,232,684</w:t>
            </w:r>
          </w:p>
        </w:tc>
        <w:tc>
          <w:tcPr>
            <w:tcW w:w="10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1,312,211</w:t>
            </w:r>
          </w:p>
        </w:tc>
        <w:tc>
          <w:tcPr>
            <w:tcW w:w="10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(206,336)</w:t>
            </w:r>
          </w:p>
        </w:tc>
        <w:tc>
          <w:tcPr>
            <w:tcW w:w="1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sectPr>
      </w:pPr>
    </w:p>
    <w:bookmarkStart w:id="7" w:name="page8"/>
    <w:bookmarkEnd w:id="7"/>
    <w:p>
      <w:pPr>
        <w:ind w:left="4400"/>
        <w:spacing w:after="0"/>
        <w:rPr>
          <w:sz w:val="20"/>
          <w:szCs w:val="20"/>
          <w:color w:val="auto"/>
        </w:rPr>
      </w:pPr>
      <w:r>
        <w:rPr>
          <w:rFonts w:ascii="Times New Roman" w:cs="Times New Roman" w:eastAsia="Times New Roman" w:hAnsi="Times New Roman"/>
          <w:sz w:val="20"/>
          <w:szCs w:val="20"/>
          <w:b w:val="1"/>
          <w:bCs w:val="1"/>
          <w:color w:val="auto"/>
        </w:rPr>
        <w:t>GLACIER BANCORP, INC.</w:t>
      </w:r>
    </w:p>
    <w:p>
      <w:pPr>
        <w:spacing w:after="0" w:line="3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b w:val="1"/>
          <w:bCs w:val="1"/>
          <w:color w:val="auto"/>
        </w:rPr>
        <w:t>UNAUDITED CONDENSED CONSOLIDATED STATEMENTS OF CHANGES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STOCKHOLDERS’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Nine Months ended September 30, 2026 and 2025</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5"/>
            <w:vMerge w:val="restart"/>
          </w:tcPr>
          <w:p>
            <w:pPr>
              <w:ind w:left="720"/>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Retained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Accumulated</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(Dollars in thousands, except share and per share</w:t>
            </w:r>
          </w:p>
        </w:tc>
        <w:tc>
          <w:tcPr>
            <w:tcW w:w="2660" w:type="dxa"/>
            <w:vAlign w:val="bottom"/>
            <w:gridSpan w:val="5"/>
            <w:vMerge w:val="continue"/>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8"/>
              </w:rPr>
              <w:t>Other Compre-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140" w:type="dxa"/>
            <w:vAlign w:val="bottom"/>
            <w:gridSpan w:val="3"/>
            <w:vMerge w:val="continue"/>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Borders>
              <w:top w:val="single" w:sz="8" w:color="auto"/>
            </w:tcBorders>
            <w:gridSpan w:val="2"/>
          </w:tcPr>
          <w:p>
            <w:pPr>
              <w:spacing w:after="0" w:line="135" w:lineRule="exact"/>
              <w:rPr>
                <w:sz w:val="20"/>
                <w:szCs w:val="20"/>
                <w:color w:val="auto"/>
              </w:rPr>
            </w:pPr>
            <w:r>
              <w:rPr>
                <w:rFonts w:ascii="Times New Roman" w:cs="Times New Roman" w:eastAsia="Times New Roman" w:hAnsi="Times New Roman"/>
                <w:sz w:val="14"/>
                <w:szCs w:val="14"/>
                <w:color w:val="auto"/>
              </w:rPr>
              <w:t>data)</w:t>
            </w:r>
          </w:p>
        </w:tc>
        <w:tc>
          <w:tcPr>
            <w:tcW w:w="320" w:type="dxa"/>
            <w:vAlign w:val="bottom"/>
          </w:tcPr>
          <w:p>
            <w:pPr>
              <w:spacing w:after="0"/>
              <w:rPr>
                <w:sz w:val="11"/>
                <w:szCs w:val="11"/>
                <w:color w:val="auto"/>
              </w:rPr>
            </w:pPr>
          </w:p>
        </w:tc>
        <w:tc>
          <w:tcPr>
            <w:tcW w:w="134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5"/>
                <w:szCs w:val="15"/>
                <w:color w:val="auto"/>
              </w:rPr>
              <w:t>Shares</w:t>
            </w:r>
          </w:p>
        </w:tc>
        <w:tc>
          <w:tcPr>
            <w:tcW w:w="220" w:type="dxa"/>
            <w:vAlign w:val="bottom"/>
          </w:tcPr>
          <w:p>
            <w:pPr>
              <w:spacing w:after="0"/>
              <w:rPr>
                <w:sz w:val="11"/>
                <w:szCs w:val="11"/>
                <w:color w:val="auto"/>
              </w:rPr>
            </w:pPr>
          </w:p>
        </w:tc>
        <w:tc>
          <w:tcPr>
            <w:tcW w:w="11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5"/>
                <w:szCs w:val="15"/>
                <w:color w:val="auto"/>
              </w:rPr>
              <w:t>Amount</w:t>
            </w:r>
          </w:p>
        </w:tc>
        <w:tc>
          <w:tcPr>
            <w:tcW w:w="13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5"/>
                <w:szCs w:val="15"/>
                <w:color w:val="auto"/>
              </w:rPr>
              <w:t>Paid-in Capital</w:t>
            </w:r>
          </w:p>
        </w:tc>
        <w:tc>
          <w:tcPr>
            <w:tcW w:w="1420" w:type="dxa"/>
            <w:vAlign w:val="bottom"/>
            <w:gridSpan w:val="2"/>
          </w:tcPr>
          <w:p>
            <w:pPr>
              <w:ind w:left="340"/>
              <w:spacing w:after="0" w:line="135" w:lineRule="exact"/>
              <w:rPr>
                <w:sz w:val="20"/>
                <w:szCs w:val="20"/>
                <w:color w:val="auto"/>
              </w:rPr>
            </w:pPr>
            <w:r>
              <w:rPr>
                <w:rFonts w:ascii="Times New Roman" w:cs="Times New Roman" w:eastAsia="Times New Roman" w:hAnsi="Times New Roman"/>
                <w:sz w:val="15"/>
                <w:szCs w:val="15"/>
                <w:color w:val="auto"/>
              </w:rPr>
              <w:t>Earnings</w:t>
            </w:r>
          </w:p>
        </w:tc>
        <w:tc>
          <w:tcPr>
            <w:tcW w:w="14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5"/>
                <w:szCs w:val="15"/>
                <w:color w:val="auto"/>
              </w:rPr>
              <w:t>hensive Loss</w:t>
            </w:r>
          </w:p>
        </w:tc>
        <w:tc>
          <w:tcPr>
            <w:tcW w:w="1220" w:type="dxa"/>
            <w:vAlign w:val="bottom"/>
          </w:tcPr>
          <w:p>
            <w:pPr>
              <w:jc w:val="right"/>
              <w:ind w:right="351"/>
              <w:spacing w:after="0" w:line="135" w:lineRule="exact"/>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113,401,955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2,448,758</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1,083,258</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(309,296)</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3,223,854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175,249</w:t>
            </w: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175,249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116,406</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dividends declared ($0.99 per share)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(115,984)</w:t>
            </w: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(115,984)</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1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issued in connection with</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acquisitions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5,029,102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204,936</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204,987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Stock issuances under stock incentive</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plans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1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and related</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118,552,847</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2,657,469</w:t>
            </w:r>
          </w:p>
        </w:tc>
        <w:tc>
          <w:tcPr>
            <w:tcW w:w="10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1,142,523</w:t>
            </w:r>
          </w:p>
        </w:tc>
        <w:tc>
          <w:tcPr>
            <w:tcW w:w="10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(192,890)</w:t>
            </w:r>
          </w:p>
        </w:tc>
        <w:tc>
          <w:tcPr>
            <w:tcW w:w="1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3,608,288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129,971,712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3,220,064</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1,159,567</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(167,110)</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4,213,821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284,568</w:t>
            </w: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284,568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(39,226)</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dividends declared ($1.01 per share)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(131,924)</w:t>
            </w: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(131,924)</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1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issuances under stock incentive</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plans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247,271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and related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0" w:type="dxa"/>
            <w:vAlign w:val="bottom"/>
          </w:tcPr>
          <w:p>
            <w:pPr>
              <w:spacing w:after="0"/>
              <w:rPr>
                <w:sz w:val="1"/>
                <w:szCs w:val="1"/>
                <w:color w:val="auto"/>
              </w:rPr>
            </w:pPr>
          </w:p>
        </w:tc>
      </w:tr>
      <w:tr>
        <w:trPr>
          <w:trHeight w:val="262"/>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31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130,218,983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3,232,684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1,312,211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(206,336)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4,339,861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GLACIER BANCORP,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CONDENSED CONSOLIDATED STATEMENTS OF CASH FLOWS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1"/>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640" w:type="dxa"/>
            <w:vAlign w:val="bottom"/>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rPr>
              <w:t>September 30,</w:t>
            </w:r>
          </w:p>
        </w:tc>
      </w:tr>
      <w:tr>
        <w:trPr>
          <w:trHeight w:val="180"/>
        </w:trPr>
        <w:tc>
          <w:tcPr>
            <w:tcW w:w="20" w:type="dxa"/>
            <w:vAlign w:val="bottom"/>
          </w:tcPr>
          <w:p>
            <w:pPr>
              <w:spacing w:after="0"/>
              <w:rPr>
                <w:sz w:val="15"/>
                <w:szCs w:val="15"/>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5"/>
                <w:szCs w:val="15"/>
                <w:color w:val="auto"/>
              </w:rPr>
            </w:pPr>
          </w:p>
        </w:tc>
        <w:tc>
          <w:tcPr>
            <w:tcW w:w="1440" w:type="dxa"/>
            <w:vAlign w:val="bottom"/>
          </w:tcPr>
          <w:p>
            <w:pPr>
              <w:jc w:val="right"/>
              <w:ind w:right="550"/>
              <w:spacing w:after="0" w:line="160"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5"/>
                <w:szCs w:val="15"/>
                <w:color w:val="auto"/>
              </w:rPr>
            </w:pPr>
          </w:p>
        </w:tc>
        <w:tc>
          <w:tcPr>
            <w:tcW w:w="1640" w:type="dxa"/>
            <w:vAlign w:val="bottom"/>
          </w:tcPr>
          <w:p>
            <w:pPr>
              <w:jc w:val="right"/>
              <w:ind w:right="550"/>
              <w:spacing w:after="0" w:line="160"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284,568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175,249</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35,737</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amortization of debt securities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amortization of purchase accounting adjustments and deferred loan fees and costs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Origination of loans held for sale</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(618,766)</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(541,813)</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Proceeds from loans held for sale</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635,210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545,816</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Gain on sale of loans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(14,869)</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(13,611)</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Bank-owned life insurance income, net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 net of tax benefits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23,208</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Gain on dispositions of premises and equipment</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Loss on sale and write-downs of other real estate owned, net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core deposit and other intangibles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14,396</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Amortization of investments in variable interest entities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21,546</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increase in accrued interest receivable</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(11,771)</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(14,603)</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increase in other assets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increase (decrease) in accrued interest payable</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decrease in operating lease liabilities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increase in other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57,855</w:t>
            </w:r>
          </w:p>
        </w:tc>
        <w:tc>
          <w:tcPr>
            <w:tcW w:w="12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w:t>
            </w:r>
          </w:p>
        </w:tc>
      </w:tr>
      <w:tr>
        <w:trPr>
          <w:trHeight w:val="237"/>
        </w:trPr>
        <w:tc>
          <w:tcPr>
            <w:tcW w:w="20" w:type="dxa"/>
            <w:vAlign w:val="bottom"/>
            <w:tcBorders>
              <w:bottom w:val="single" w:sz="8" w:color="CCEEFF"/>
            </w:tcBorders>
          </w:tcPr>
          <w:p>
            <w:pPr>
              <w:spacing w:after="0"/>
              <w:rPr>
                <w:sz w:val="20"/>
                <w:szCs w:val="20"/>
                <w:color w:val="auto"/>
              </w:rPr>
            </w:pPr>
          </w:p>
        </w:tc>
        <w:tc>
          <w:tcPr>
            <w:tcW w:w="78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370,311</w:t>
            </w:r>
          </w:p>
        </w:tc>
        <w:tc>
          <w:tcPr>
            <w:tcW w:w="1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250,905</w:t>
            </w:r>
          </w:p>
        </w:tc>
      </w:tr>
      <w:tr>
        <w:trPr>
          <w:trHeight w:val="223"/>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Sales of debt securities, available-for-sale</w:t>
            </w:r>
          </w:p>
        </w:tc>
        <w:tc>
          <w:tcPr>
            <w:tcW w:w="2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120,245</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Maturities, prepayments and calls of available-for-sale debt securities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3,928,603</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527,933</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available-for-sale debt securities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(3,590,296)</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(28,239)</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Maturities, prepayments and calls of held-to-maturity debt securities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292,590</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152,687</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held-to-maturity debt securities</w:t>
            </w:r>
          </w:p>
        </w:tc>
        <w:tc>
          <w:tcPr>
            <w:tcW w:w="2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increase in loans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(699,406)</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(458,595)</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sale of premises and equipment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additions to premises and equipment</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(34,459)</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sale of other real estate owned</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redemption of equity securities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22,477</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46,839</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bank-owned life insurance</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Investments in variable interest entities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(36,229)</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received from acquisitions</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26,125</w:t>
            </w:r>
          </w:p>
        </w:tc>
      </w:tr>
      <w:tr>
        <w:trPr>
          <w:trHeight w:val="236"/>
        </w:trPr>
        <w:tc>
          <w:tcPr>
            <w:tcW w:w="20" w:type="dxa"/>
            <w:vAlign w:val="bottom"/>
          </w:tcPr>
          <w:p>
            <w:pPr>
              <w:spacing w:after="0"/>
              <w:rPr>
                <w:sz w:val="20"/>
                <w:szCs w:val="20"/>
                <w:color w:val="auto"/>
              </w:rPr>
            </w:pPr>
          </w:p>
        </w:tc>
        <w:tc>
          <w:tcPr>
            <w:tcW w:w="7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(111,260)</w:t>
            </w:r>
          </w:p>
        </w:tc>
        <w:tc>
          <w:tcPr>
            <w:tcW w:w="120" w:type="dxa"/>
            <w:vAlign w:val="bottom"/>
          </w:tcPr>
          <w:p>
            <w:pPr>
              <w:spacing w:after="0"/>
              <w:rPr>
                <w:sz w:val="20"/>
                <w:szCs w:val="20"/>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2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GLACIER BANCORP,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CONDENSED CONSOLIDATED STATEMENTS OF CASH FLOWS (Continued)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640" w:type="dxa"/>
            <w:vAlign w:val="bottom"/>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September 30,</w:t>
            </w:r>
          </w:p>
        </w:tc>
      </w:tr>
      <w:tr>
        <w:trPr>
          <w:trHeight w:val="189"/>
        </w:trPr>
        <w:tc>
          <w:tcPr>
            <w:tcW w:w="20" w:type="dxa"/>
            <w:vAlign w:val="bottom"/>
          </w:tcPr>
          <w:p>
            <w:pPr>
              <w:spacing w:after="0"/>
              <w:rPr>
                <w:sz w:val="16"/>
                <w:szCs w:val="16"/>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144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6"/>
                <w:szCs w:val="16"/>
                <w:color w:val="auto"/>
              </w:rPr>
            </w:pPr>
          </w:p>
        </w:tc>
        <w:tc>
          <w:tcPr>
            <w:tcW w:w="164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increase in deposits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681,278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245,924</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(decrease) increase in securities sold under agreements to repurchase</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(129,188)</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226,811</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decrease in short-term Federal Home Loan Bank advances</w:t>
            </w:r>
          </w:p>
        </w:tc>
        <w:tc>
          <w:tcPr>
            <w:tcW w:w="2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long-term Federal Home Loan Bank advances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(940,000)</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decrease in subordinated debentures and other borrowed funds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payments on finance lease liabilities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dividends paid</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(76,962)</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withholding payments for stock-based compensation</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r>
      <w:tr>
        <w:trPr>
          <w:trHeight w:val="243"/>
        </w:trPr>
        <w:tc>
          <w:tcPr>
            <w:tcW w:w="20" w:type="dxa"/>
            <w:vAlign w:val="bottom"/>
            <w:tcBorders>
              <w:bottom w:val="single" w:sz="8" w:color="CCEEFF"/>
            </w:tcBorders>
          </w:tcPr>
          <w:p>
            <w:pPr>
              <w:spacing w:after="0"/>
              <w:rPr>
                <w:sz w:val="21"/>
                <w:szCs w:val="21"/>
                <w:color w:val="auto"/>
              </w:rPr>
            </w:pPr>
          </w:p>
        </w:tc>
        <w:tc>
          <w:tcPr>
            <w:tcW w:w="7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2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shd w:val="clear" w:color="auto" w:fill="CCEEFF"/>
          </w:tcPr>
          <w:p>
            <w:pPr>
              <w:spacing w:after="0"/>
              <w:rPr>
                <w:sz w:val="20"/>
                <w:szCs w:val="20"/>
                <w:color w:val="auto"/>
              </w:rPr>
            </w:pPr>
          </w:p>
        </w:tc>
        <w:tc>
          <w:tcPr>
            <w:tcW w:w="7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120" w:type="dxa"/>
            <w:vAlign w:val="bottom"/>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(565,023)</w:t>
            </w:r>
          </w:p>
        </w:tc>
      </w:tr>
      <w:tr>
        <w:trPr>
          <w:trHeight w:val="236"/>
        </w:trPr>
        <w:tc>
          <w:tcPr>
            <w:tcW w:w="20" w:type="dxa"/>
            <w:vAlign w:val="bottom"/>
          </w:tcPr>
          <w:p>
            <w:pPr>
              <w:spacing w:after="0"/>
              <w:rPr>
                <w:sz w:val="20"/>
                <w:szCs w:val="20"/>
                <w:color w:val="auto"/>
              </w:rPr>
            </w:pPr>
          </w:p>
        </w:tc>
        <w:tc>
          <w:tcPr>
            <w:tcW w:w="7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271,520</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cash equivalents at beginning of period</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1,235,261</w:t>
            </w:r>
          </w:p>
        </w:tc>
        <w:tc>
          <w:tcPr>
            <w:tcW w:w="12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848,408</w:t>
            </w:r>
          </w:p>
        </w:tc>
      </w:tr>
      <w:tr>
        <w:trPr>
          <w:trHeight w:val="237"/>
        </w:trPr>
        <w:tc>
          <w:tcPr>
            <w:tcW w:w="20" w:type="dxa"/>
            <w:vAlign w:val="bottom"/>
          </w:tcPr>
          <w:p>
            <w:pPr>
              <w:spacing w:after="0"/>
              <w:rPr>
                <w:sz w:val="20"/>
                <w:szCs w:val="20"/>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cash equivalents at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1,506,781</w:t>
            </w:r>
          </w:p>
        </w:tc>
        <w:tc>
          <w:tcPr>
            <w:tcW w:w="12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854,244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6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272,452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307,846</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21,247</w:t>
            </w:r>
          </w:p>
        </w:tc>
      </w:tr>
      <w:tr>
        <w:trPr>
          <w:trHeight w:val="243"/>
        </w:trPr>
        <w:tc>
          <w:tcPr>
            <w:tcW w:w="20" w:type="dxa"/>
            <w:vAlign w:val="bottom"/>
          </w:tcPr>
          <w:p>
            <w:pPr>
              <w:spacing w:after="0"/>
              <w:rPr>
                <w:sz w:val="21"/>
                <w:szCs w:val="21"/>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Transfer of loans to other real estate owned</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investments obtained in exchange for delayed equity contributions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25,643</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37,065</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Dividends declared during the period but not paid</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39,401</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Fair value of common stock shares issued</w:t>
            </w:r>
          </w:p>
        </w:tc>
        <w:tc>
          <w:tcPr>
            <w:tcW w:w="2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204,986</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consideration</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2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1,364,640</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Liabilities assumed</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0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GLACIER BANCORP,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UNAUDITED CONDENSED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Summary of Significant Accounting Policies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Glacier Bancorp, Inc. (“Company”) is a Montana corporation headquartered in Kalispell, Montana. The Company provides a full range of banking services to individuals and businesses in Montana, Idaho, Utah, Washington, Wyoming, Colorado, Arizona, Nevada, and Texas through its wholly-owned bank subsidiary, Glacier Bank (“Bank”). The Company offers a wide range of banking products and services, including: 1) retail banking; 2) business banking;</w:t>
      </w:r>
    </w:p>
    <w:p>
      <w:pPr>
        <w:spacing w:after="0" w:line="1" w:lineRule="exact"/>
        <w:rPr>
          <w:sz w:val="20"/>
          <w:szCs w:val="20"/>
          <w:color w:val="auto"/>
        </w:rPr>
      </w:pPr>
    </w:p>
    <w:p>
      <w:pPr>
        <w:ind w:firstLine="8"/>
        <w:spacing w:after="0" w:line="260" w:lineRule="auto"/>
        <w:tabs>
          <w:tab w:leader="none" w:pos="2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commercial, agriculture and consumer loans; and 4) mortgage origination and loan servicing. The Company serves individuals, small to medium-sized businesses, community organizations and public entities.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adjustments necessary for a fair presentation of the results for the interim periods. All such adjustments are of a normal recurring nature. These interim condensed consolidated financial statements do not include all of the information and footnotes required by accounting principles generally accepted in the United States of America (“GAAP”) for complete financial statements and they should be read in conjunction with the consolidated financial statements and notes thereto contained in the Company’s Annual Report on Form 10-K for the year ended December 31, 2025. Operating results for the nine months ended September 30, 2026 are not necessarily indicative of the results anticipated for the year ending December 31, 2026. The condensed consolidated statement of financial condition of the Company as of December 31, 2025 has been derived from the audited consolidated statements of the Company as of that date.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 defendant in legal proceedings arising in the normal course of business. In the opinion of management, the disposition of pending litigation will not have a material effect on the Company’s unaudited condensed consolidated financial position, results of operations or liquidity.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 include: 1) the determination of the allowance for credit losses (“ACL” or “allowance”) on loans; 2) the valuation of debt securities; and 3) the evaluation of goodwill impairment. For the determination of the ACL on certain loans and real estate valuation estimates, management obtains independent appraisals (new or updated) for significant items. Estimates relating to the investment valuations are obtained from independent third parties. Estimates relating to the evaluation of goodwill for impairment are determined based on internal calculations using market-based inputs.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of the Company include the parent holding company and the Bank, which consists of eighteen bank divisions and a corporate division. The corporate division includes the Bank’s investment portfolio, wholesale borrowings and other centralized functions. The Bank divisions operate under separate names, management teams and advisory directors. The Bank also has non-bank subsidiaries which hold certain Bank investments. These non-bank subsidiaries are either consolidated or accounted for under the equity method depending on whether the Bank has a controlling interest or significant influence over the entity.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 has interests in variable interest entities (“VIE”) for which the Bank has both the power to direct the VIE’s significant activities and the obligation to absorb losses or right to receive benefits of the VIE that could potentially be significant to the VIE. These interests are consolidated into the Company’s consolidated financial statements. The Bank also has interests in VIEs for which the Bank does not have a controlling financial interest and is not the primary beneficiary. These interests are accounted for under the equity method in the Company’s consolidated financial statements. For additional information on the Bank’s interest in VIEs, see Note 7.</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parent holding company owns non-bank subsidiaries that have issued trust preferred securities. The trust subsidiaries are not consolidated into the Company’s consolidated financial statements. The Company's investments in the trust subsidiaries are included in other assets on the Company's consolidated statements of financial condition and its liabilities to the trust subsidiaries are included in subordinated debentures.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Reporting</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has determined that its current operating model is structured whereby banking locations and divisions serve a similar base of commercial and retail customers for which the Company provides similar products and services managed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1" w:name="page12"/>
    <w:bookmarkEnd w:id="11"/>
    <w:p>
      <w:pPr>
        <w:jc w:val="both"/>
        <w:spacing w:after="0" w:line="243" w:lineRule="auto"/>
        <w:rPr>
          <w:sz w:val="20"/>
          <w:szCs w:val="20"/>
          <w:color w:val="auto"/>
        </w:rPr>
      </w:pPr>
      <w:r>
        <w:rPr>
          <w:rFonts w:ascii="Times New Roman" w:cs="Times New Roman" w:eastAsia="Times New Roman" w:hAnsi="Times New Roman"/>
          <w:sz w:val="18"/>
          <w:szCs w:val="18"/>
          <w:color w:val="auto"/>
        </w:rPr>
        <w:t>through similar processes and technology platforms. The Chief Executive Officer (“CEO”) serves as the Company’s chief operating decision maker (“CODM”). The CODM allocates resources and assesses performance of the Company based on the consolidated performance, excluding all significant intercompany balances and transactions between the Company and the Bank, its wholly owned subsidiary, and does not significantly utilize disaggregated segment financial information for decision making and resource allocation. The CODM assesses performance for the banking segment and decides how to allocate resources based on net income as reported on the unaudited condensed consolidated statements of operations as consolidated net income. Accordingly, all of the Company’s operations are considered by management to be aggregated in one reportable operating segment, the banking segment. All categories of interest expense and non-interest expense as disclosed on the Company’s unaudited condensed consolidated statements of operations are considered significant to the banking segment.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determined that no additional segment disclosures are required, specifically as a result of the following;</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use the tracked performance on the disaggregated segment level for decision-making or resource allocation purposes,</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significant segment-specific expenses or performance metrics are used internally for decision-making or resource allocation purposes other than those reported on the unaudited condensed consolidated statements of operations,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financial consolidation presented in these financial statements aligns with the CODM’s internal reporting and decision-making process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Cash Equivalents and Interest Bearing Cash Deposits</w:t>
      </w:r>
    </w:p>
    <w:p>
      <w:pPr>
        <w:spacing w:after="0" w:line="1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Cash and cash equivalents include cash on hand, cash held as demand deposits at various banks and the Federal Reserve Bank (“FRB”), interest bearing deposits, federal funds sold, and liquid investments with original or acquired maturities of three months or less. From time to time, interest bearing deposits may be maintained at other financial institutions as collateral for certain derivative contracts and are considered restricted cash. Interest earned on interest bearing cash deposits was $22,362,000 and $17,686,000 for the nine months ended September 30, 2026 and 2025, respectively, and was included in interest income on investment securities on the unaudited condensed consolidated statements of operations. The Bank is required to maintain an average reserve balance either with the FRB or in the form of cash on hand at a reserve rate determined by the FRB. Effective March 26, 2020, the FRB Board reduced the reserve requirement ratio to zero percent. The required reserve balance at September 30, 2026 was $0.</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Securities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Debt securities for which the Company has the positive intent and ability to hold to maturity are classified as held-to-maturity (“HTM”) and are carried at amortized cost. Debt securities held primarily for the purpose of selling in the near term are classified as trading securities and are reported at fair value, with unrealized gains and losses included in income. Debt securities not classified as HTM or trading are classified as available-for-sale (“AFS”) and are reported at fair value with unrealized gains and losses, net of income taxes, as a separate component of other comprehensive income (“OCI”). Premiums and discounts on debt securities are amortized or accreted into income using a method that approximates the interest method. The objective of the interest method is to calculate periodic interest income at a constant effective yield. The Company does not have any debt securities classified as trading securities. When the Company acquires another entity, it records the debt securities at fair value.</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and analyzes the various risks that may be present within the investment portfolio on an ongoing basis, including market risk, credit risk and liquidity risk. Market risk is the risk to an entity’s financial condition resulting from adverse changes in the value of its holdings arising from movements in interest rates, foreign exchange rates, equity prices or commodity prices. The Company assesses the market risk of individual debt securities as well as the investment portfolio as a whole. Credit risk, broadly defined, is the risk that an issuer or counterparty will fail to perform on an obligation. The credit rating of a security is considered the primary credit quality indicator for debt securities. Liquidity risk refers to the risk that a security will not have an active and efficient market in which the security can be sold.</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debt security is investment grade if the issuer has adequate capacity to meet its commitment over the expected life of the investment, i.e., the risk of default is low and full and timely repayment of interest and principal is expected. To determine investment grade status for debt securities, the Company conducts due diligence of the creditworthiness of the issuer or counterparty prior to acquisition and ongoing thereafter consistent with the risk characteristics of the security and the overall risk of the investment portfolio. Credit quality due diligence takes into account the extent to which a security is guaranteed by the U.S. government and other agencies of the U.S. government. The depth of the due diligence is based on the complexity of the structure, the size of the security, and takes into account material positions and specific groups of securities or stratifications for analysis and review of similar risk positions. The due diligence includes consideration of payment performance, collateral adequacy, internal analyses, third party research and analytics, external credit ratings and default statistics.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For additional information relating to debt securities, see Note 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 - Available-for-Sale Debt Securities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 AFS debt securities in an unrealized loss position, the Company first assesses whether it intends to sell, or it is more-likely-than-not that it will be required to sell the security before recovery of its amortized cost basis. If either of the criteria regarding intent or requirement to sell is met, the security’s amortized cost basis is written down to fair value through loss on sale of securities. For the AFS securities that do not meet the aforementioned criteria, the Company evaluates whether the decline in fair value has resulted from credit losses or other factors. In such assessment, the Company considers the extent to which fair value is less than amortized cost, if there are any changes to the investment grade of the security by a rating agency, and if there are any adverse conditions that impact the security. If this assessment indicates a credit loss exists, the present value of the cash flows expected to be collected from the security is compared to the amortized cost basis of the security. If the present value of the cash flows expected to be collected is less than the amortized cost basis, a potential credit loss exists and an ACL is recorded for the credit loss, limited by the amount that the fair value is less than the amortized cost. Any estimated credit losses that have not been recorded through an ACL are recognized in OCI.</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acquired debt securities through acquisitions and if the securities have more than insignificant credit deterioration since origination, they are designated as purchased credit-deteriorated (“PCD”) securities. An ACL is determined using the same methodology as with other debt securities. The sum of a PCD security’s fair value and associated ACL becomes its initial amortized cost basis. The difference between the initial amortized cost basis and the par value of the debt security is a noncredit discount or premium, which is amortized into interest income over the life of the security. Subsequent changes to the ACL are recorded through provision for credit losses.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elected to exclude accrued interest from the estimate of credit losses for AFS debt securities. As part of its non-accrual policy, the Company charges-off uncollectable interest at the time it is determined to be uncollectable.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 - HTM Debt Securities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estimating the allowance for HTM debt securities that share similar risk characteristics with other securities, such securities are pooled based on major security type. For pools of such securities with similar risk characteristics, the historical lifetime probability of default and severity of loss in the event of default is derived or obtained from external sources and adjusted for the expected effects of reasonable and supportable forecasts over the expected lives of the securities on those historical credit losses. Expected credit losses on securities in the HTM portfolio that do not share similar risk characteristics with any of the pools of debt securities are individually measured based on net realizable value, or the difference between the discounted value of the expected future cash flows, based on the original effective interest rate, and the recorded amortized cost basis of the securities.</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elected to exclude accrued interest from the estimate of credit losses for HTM debt securities. As part of its non-accrual policy, the Company charges off uncollectable interest at the time it is determined to be uncollectable.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 Held for Sale</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Loans held for sale generally consist of long-term, fixed-rate, conforming, single-family residential real estate loans intended to be sold on the secondary market. Fair value elections are made at the time of origination based on the Company’s fair value election policy. Loans held for sale are currently recorded at fair value and may be sold with or without servicing rights. Changes in fair value are recognized in gain on sale of loans included in non-interest income.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 Receivable</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loan segments or classes are based on the purpose of the loan and consist of residential real estate, commercial real estate (“CRE”), other commercial, home equity, and other consumer loans. Loans that are intended at origination to be held for investment are reported at the unpaid principal balance less net charge-offs and adjusted for deferred fees and costs on originated loans and unamortized premiums or discounts on acquired loans. Interest income is accrued on the unpaid principal balance. Fees and costs on originated loans and premiums or discounts on acquired loans are deferred and subsequently amortized or accreted as a yield adjustment over the expected life of the loan utilizing the interest or straight-line methods. The interest method is utilized for loans with scheduled payment terms and the objective is to calculate periodic interest income at a constant effective yield. The straight-line method is utilized for revolving lines of credit or loans with no scheduled payment terms. When a loan is paid off prior to maturity, the remaining unamortized fees and costs on originated loans and unamortized premiums or discounts on acquired loans are immediately recognized as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3" w:name="page14"/>
    <w:bookmarkEnd w:id="13"/>
    <w:p>
      <w:pPr>
        <w:jc w:val="both"/>
        <w:spacing w:after="0" w:line="255" w:lineRule="auto"/>
        <w:rPr>
          <w:sz w:val="20"/>
          <w:szCs w:val="20"/>
          <w:color w:val="auto"/>
        </w:rPr>
      </w:pPr>
      <w:r>
        <w:rPr>
          <w:rFonts w:ascii="Times New Roman" w:cs="Times New Roman" w:eastAsia="Times New Roman" w:hAnsi="Times New Roman"/>
          <w:sz w:val="18"/>
          <w:szCs w:val="18"/>
          <w:color w:val="auto"/>
        </w:rPr>
        <w:t>Loans that are 30 days or more past due based on payments received and applied to the loan are considered delinquent. Loans are designated non-accrual and the accrual of interest is discontinued when the collection of the contractual principal or interest is unlikely. A loan is typically placed on non-accrual when principal or interest is due and has remained unpaid for 90 days or more. When a loan is placed on non-accrual status, interest previously accrued but not collected is reversed against current period interest income. Subsequent payments on non-accrual loans are applied to the outstanding principal balance if doubt remains as to the ultimate collectability of the loan. Interest accruals are not resumed on partially charged-off impaired loans. For other loans on non-accrual,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acquired loans through acquisitions, some of which have experienced more than insignificant credit deterioration since origination. The Company considers all acquired non-accrual loans to be PCD loans. In addition, the Company considers loans accruing 90 days or more past due or substandard loans to be PCD loans. An ACL is determined using the same methodology as other loans held for investment. The ACL determined on a collective basis is allocated to individual loans. The sum of a loan’s fair value and ACL becomes the initial amortized cost basis. The difference between the initial amortized cost basis and the par value of the loan is a noncredit discount or premium, which is amortized into interest income over the life of the loan. Subsequent changes to the ACL are recorded through provision for credit losses.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relating to loans, see Note 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 - Loans Receivable</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ACL for loans receivable represents management’s estimate of credit losses over the expected contractual life of the loan portfolio. The estimate is determined based on the amortized cost of the loan portfolio including the loan balance adjusted for charge-offs, recoveries, deferred fees and costs, and loan discount and premiums. Recoveries are included only to the extent that such amounts were previously charged-off. The Company has elected to exclude accrued interest from the estimate of credit losses for loans. Determining the adequacy of the allowance is complex and requires a high degree of judgment by management about the effect of matters that are inherently uncertain. Subsequent evaluations of the then-existing loan portfolio, in light of the factors then prevailing, may result in significant changes in the allowance in those future periods.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is adjusted for estimated credit losses which is recorded in the provision for credit losses. The portion of loans and overdraft balances determined by management to be uncollectable are charged-off as a reduction to the allowance and recoveries of amounts previously charged-off increase the allowance. The Company’s charge-off policy is consistent with bank regulatory standards. Consumer loans generally are charged-off when the loan becomes over 120 days delinquent. Real estate acquired as a result of foreclosure or by deed-in-lieu of foreclosure is classified as other real estate owned (“OREO”) until such time as it is sold.</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expected credit loss estimate process involves procedures to consider the unique characteristics of each of the Company’s loan portfolio segments, which consist of residential real estate, CRE, other commercial, home equity, and other consumer loans. When computing the allowance levels, credit loss assumptions are estimated using a model that categorizes loan pools and that considers loss history, credit and risk characteristics, including current conditions and reasonable and supportable forecasts about the future. The Company has determined a four consecutive quarter forecasting period is a reasonable and supportable period. Expected credit loss for periods beyond reasonable and supportable forecast periods are determined based on a reversion method which reverts back to historical loss estimates over a four consecutive quarter period on a straight-line basis.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Credit quality is assessed and monitored by evaluating various attributes and the results of those evaluations are utilized in underwriting new loans and the process for estimating the expected credit losses. The following paragraphs describe the risk characteristics relevant to each portfolio segment.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Residential Real Estate. </w:t>
      </w:r>
      <w:r>
        <w:rPr>
          <w:rFonts w:ascii="Times New Roman" w:cs="Times New Roman" w:eastAsia="Times New Roman" w:hAnsi="Times New Roman"/>
          <w:sz w:val="18"/>
          <w:szCs w:val="18"/>
          <w:color w:val="auto"/>
        </w:rPr>
        <w:t>Residential real estate loans are secured by owner-occupied 1-4 family residences. Repayment of these loans is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dependent on the personal income and credit rating of the borrowers. Credit risk in these loans is impacted by economic conditions within the Company’s market areas that affect the value of the residential property securing the loans and affect the borrowers' personal incomes. Mitigating risk factors for this loan segment include a large number of borrowers, geographic dispersion of market areas and the loans are originated for relatively smaller amounts.</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Commercial Real Estate</w:t>
      </w:r>
      <w:r>
        <w:rPr>
          <w:rFonts w:ascii="Times New Roman" w:cs="Times New Roman" w:eastAsia="Times New Roman" w:hAnsi="Times New Roman"/>
          <w:sz w:val="18"/>
          <w:szCs w:val="18"/>
          <w:color w:val="auto"/>
        </w:rPr>
        <w:t>. CRE loans typically involve larger principal amounts, and repayment of these loans is generally dependent on the successful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 of the property securing the loan and/or the business conducted on the property securing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the loan. Credit risk in these loans is impacted by the creditworthiness of a borrower, valuation of the property securing the loan and conditions within the local economies in the Company’s diverse geographic market areas.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Other Commercial</w:t>
      </w:r>
      <w:r>
        <w:rPr>
          <w:rFonts w:ascii="Times New Roman" w:cs="Times New Roman" w:eastAsia="Times New Roman" w:hAnsi="Times New Roman"/>
          <w:sz w:val="18"/>
          <w:szCs w:val="18"/>
          <w:color w:val="auto"/>
        </w:rPr>
        <w:t>. Other commercial loans consist of loans to commercial customers for use in financing working capital needs, equipment purchases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expansions. The loans in this category are repaid primarily from the cash flow of a borrower’s principal business operation. Credit risk in these loans is driven by creditworthiness of a borrower and the economic conditions that impact the cash flow stability from business operations across the Company’s diverse geographic market areas.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Home Equity</w:t>
      </w:r>
      <w:r>
        <w:rPr>
          <w:rFonts w:ascii="Times New Roman" w:cs="Times New Roman" w:eastAsia="Times New Roman" w:hAnsi="Times New Roman"/>
          <w:sz w:val="18"/>
          <w:szCs w:val="18"/>
          <w:color w:val="auto"/>
        </w:rPr>
        <w:t>. Home equity loans consist of junior lien mortgages and first and junior lien lines of credit (revolving open-end and amortizing closed-end)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by owner-occupied 1-4 family residences. Repayment of these loans is primarily dependent on the personal income and credit rating of the borrowers. Credit risk in these loans is impacted by economic conditions within the Company’s market areas that affect the value of the residential property securing the loans and affect the borrowers' personal incomes. Mitigating risk factors for this loan segment are a large number of borrowers, geographic dispersion of market areas and the loans are originated for terms that range from 10 to 15 years.</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Other Consumer</w:t>
      </w:r>
      <w:r>
        <w:rPr>
          <w:rFonts w:ascii="Times New Roman" w:cs="Times New Roman" w:eastAsia="Times New Roman" w:hAnsi="Times New Roman"/>
          <w:sz w:val="18"/>
          <w:szCs w:val="18"/>
          <w:color w:val="auto"/>
        </w:rPr>
        <w:t>. The other consumer loan portfolio consists of various short-term loans such as automobile loans and loans for other personal purposes.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 of these loans is primarily dependent on the personal income of the borrowers. Credit risk is driven by consumer economic factors (such as unemployment and general economic conditions in the Company’s diverse geographic market areas) and the creditworthiness of a borrower.</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is impacted by loan volumes, delinquency status, credit ratings, historical loss experiences, estimated prepayment speeds, weighted average lives and other conditions influencing loss expectations, such as reasonable and supportable forecasts of economic conditions. The methodology for estimating the amount of expected credit losses reported in the allowance has two basic components: 1) individual loans that do not share similar risk characteristics with other loans and the measurement of expected credit losses for such individual loans; and 2) the expected credit losses for pools of loans that share similar risk characteristics.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Loans that do not Share Similar Risk Characteristics with Other Loans. </w:t>
      </w:r>
      <w:r>
        <w:rPr>
          <w:rFonts w:ascii="Times New Roman" w:cs="Times New Roman" w:eastAsia="Times New Roman" w:hAnsi="Times New Roman"/>
          <w:sz w:val="18"/>
          <w:szCs w:val="18"/>
          <w:color w:val="auto"/>
        </w:rPr>
        <w:t>For a loan that does not share similar risk characteristics with other loans,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loss is measured based on the net realizable value, that is, the difference between the discounted value of the expected future cash flows, based on the original effective interest rate, and the amortized cost basis of the loan. For these loans, the expected credit loss is equal to the amount by which the net realizable value of the loan is less than the amortized cost basis of the loan (which is net of previous charge-offs and deferred loan fees and costs), except when the loan is collateral-dependent, that is, when foreclosure is probable or the borrower is experiencing financial difficulty and repayment is expected to be provided substantially through the operation or sale of the collateral. In these cases, expected credit loss is measured as the difference between the amortized cost basis of the loan and the fair value of the collateral. The fair value of the collateral is adjusted for the estimated cost to sell if repayment or satisfaction of a loan is dependent on the sale (rather than only on the operation) of the collateral. The Company has determined that non-accrual loans do not share similar risk characteristics with other loans and these loans are individually evaluated for estimated allowance for credit losses. The Company, through its credit monitoring process, may also identify other loans that do not share similar risk characteristics and individually evaluate such loans. The starting point for determining the fair value of collateral is to obtain external appraisals or evaluations (new or updated). The valuation techniques used in preparing appraisals or evaluations include the cost approach, income approach, sales comparison approach, or a combination of the preceding valuation techniques. The Company’s credit department reviews appraisals, giving consideration to the highest and best use of the collateral. The appraisals or evaluations are reviewed at least quarterly and more frequently based on current market conditions, including deterioration in a borrower’s financial condition and when property values may be subject to significant volatility. Adjustments may be made to the fair value of the collateral after review and acceptance of the collateral appraisal or evaluation.</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Loans that Share Similar Risk Characteristics with Other Loans. </w:t>
      </w:r>
      <w:r>
        <w:rPr>
          <w:rFonts w:ascii="Times New Roman" w:cs="Times New Roman" w:eastAsia="Times New Roman" w:hAnsi="Times New Roman"/>
          <w:sz w:val="18"/>
          <w:szCs w:val="18"/>
          <w:color w:val="auto"/>
        </w:rPr>
        <w:t>For estimating the allowance for loans that share similar risk characteristics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such loans are segregated into loan segments. Loans are designated into loan segments based on loans pooled by product types and similar risk characteristics or areas of risk concentration. In determining the ACL, the Company derives an estimated credit loss assumption from a model that categorizes loan pools based on loan type. This model calculates an expected loss percentage for each loan segment by considering the non-discounted simple annual average historical loss rate of each loan segment (calculated through an “open pool” method), multiplying the loss rate by the amortized loan balance and incorporating that segment’s internally generated prepayment speed assumption and contractually scheduled remaining principal pay downs on a loan level basis. The annual historical loss rates are adjusted over a reasonable economic forecast period by a multiplier that is calculated based upon current national economic forecasts as a proportion of each segment’s historical average loss levels. The Company will then revert from the economic forecast period back to the historical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average loss rate on a straight-line basis. After the reversion period, the loans will be assumed to experience their historical loss rate for the remainder of their contractual lives. The model applies the expected loss rate over the projected cash flows at the individual loan level and then aggregates the losses by loan segment in determining their quantitative allowance. The Company will also include qualitative adjustments to adjust the ACL on loan segments to the extent the current or future market conditions are believed to vary substantially from historical conditions in regards to:</w:t>
      </w:r>
    </w:p>
    <w:p>
      <w:pPr>
        <w:spacing w:after="0" w:line="31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lending policies and procedures;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national, regional and local economic business conditions, developments, or environmental conditions that affect the collectability of the portfolio, including the condition of various markets;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volume of the loan portfolio including the terms of the loans;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experience, ability, and depth of the lending management and other relevant staff;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severity of past due and adversely classified or graded loans and the volume of non-accrual loans;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loan review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underlying collateral for collateralized loans;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and effect of any concentrations of credit, and changes in the level of concentrations;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external factors such as competition and legal and regulatory requirements on the level of estimated credit losses in the existing portfolio.</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regularly reviews loans in the portfolio to assess credit quality indicators and to determine the appropriate loan classification and grading in accordance with applicable bank regulations. The primary credit quality indicator for residential, home equity and other consumer loans is the days past due status, which consists of the following categories: 1) performing loans; 2) 30 to 89 days past due loans; and 3) non-accrual and 90 days or more past due loans. The primary credit quality indicator for CRE and commercial loans is the Company’s internal risk rating system, which includes the following categories: 1) pass loans; 2) special mention loans; 3) substandard loans; and 4) doubtful or loss loans. Such credit quality indicators are regularly monitored and incorporated into the Company’s allowance estimate. The following paragraphs further define the internal risk ratings for CRE and commercial loans.</w:t>
      </w:r>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Pass Loans. </w:t>
      </w:r>
      <w:r>
        <w:rPr>
          <w:rFonts w:ascii="Times New Roman" w:cs="Times New Roman" w:eastAsia="Times New Roman" w:hAnsi="Times New Roman"/>
          <w:sz w:val="18"/>
          <w:szCs w:val="18"/>
          <w:color w:val="auto"/>
        </w:rPr>
        <w:t>These ratings represent loans that are of acceptable, good or excellent quality with very limited to no risk. Loans that do not have one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ratings are considered pass loans.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Special Mention Loans. </w:t>
      </w:r>
      <w:r>
        <w:rPr>
          <w:rFonts w:ascii="Times New Roman" w:cs="Times New Roman" w:eastAsia="Times New Roman" w:hAnsi="Times New Roman"/>
          <w:sz w:val="18"/>
          <w:szCs w:val="18"/>
          <w:color w:val="auto"/>
        </w:rPr>
        <w:t>These ratings represent loans that are designated as special mention per the regulatory definition. Special mention loans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protected but are potentially weak. The credit risk may be relatively minor yet constitute an undue and unwarranted risk in light of the circumstances surrounding a specific loan. The rating may be used to identify credit with potential weaknesses that if not corrected may weaken the loan to the point of inadequately protecting the Company’s credit position. Examples include a lack of supervision, inadequate loan agreement, condition, or control of collateral, incomplete, or improper documentation, deviations from lending policy, and adverse trends in operations or economic conditions.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Substandard Loans. </w:t>
      </w:r>
      <w:r>
        <w:rPr>
          <w:rFonts w:ascii="Times New Roman" w:cs="Times New Roman" w:eastAsia="Times New Roman" w:hAnsi="Times New Roman"/>
          <w:sz w:val="18"/>
          <w:szCs w:val="18"/>
          <w:color w:val="auto"/>
        </w:rPr>
        <w:t>This rating represents loans that are inadequately protected by the current sound worth and paying capacity of the obligor 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pledged. A loan so classified must have a well-defined weakness that jeopardizes the liquidation of the debt. These loans are characterized by the distinct possibility that the Company will sustain some loss if the deficiencies are not corrected. Loss potential, while existing in the aggregated amount of substandard loans, does not have to exist in an individual loan classified substandard.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Doubtful/Loss Loans. </w:t>
      </w:r>
      <w:r>
        <w:rPr>
          <w:rFonts w:ascii="Times New Roman" w:cs="Times New Roman" w:eastAsia="Times New Roman" w:hAnsi="Times New Roman"/>
          <w:sz w:val="18"/>
          <w:szCs w:val="18"/>
          <w:color w:val="auto"/>
        </w:rPr>
        <w:t>A loan classified as doubtful has the characteristics that make collection in full, on the basis of currently existing facts,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values, highly improbable. The possibility of loss is extremely high, but because of pending factors, which may work to the advantage and strengthening of the loan, its classification as loss is deferred until its more exact status may be determined. Pending factors include proposed merger, acquisition, or liquidation procedures, capital injection, perfecting liens on additional collateral and refinancing plans. Loans are classified as loss when they are deemed to be not collectible and of such little value that continuance as an active asset of the Company is not warranted. Loans classified as loss must be charged-off. Assignment of this classification does not mean that an asset has absolutely no recovery or salvage value, but that it is not practical or desirable to defer writing off a basically worthless asset, even though partial recovery may be attained in the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Modifications</w:t>
      </w:r>
    </w:p>
    <w:p>
      <w:pPr>
        <w:spacing w:after="0" w:line="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identifies and monitors loans modified to borrowers experiencing financial difficulty (“MBFD”). The Company considers some of the indicators that a borrower is experiencing financial difficulty to be: currently in payment default on 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6" w:name="page17"/>
    <w:bookmarkEnd w:id="16"/>
    <w:p>
      <w:pPr>
        <w:jc w:val="both"/>
        <w:spacing w:after="0" w:line="245" w:lineRule="auto"/>
        <w:rPr>
          <w:sz w:val="20"/>
          <w:szCs w:val="20"/>
          <w:color w:val="auto"/>
        </w:rPr>
      </w:pPr>
      <w:r>
        <w:rPr>
          <w:rFonts w:ascii="Times New Roman" w:cs="Times New Roman" w:eastAsia="Times New Roman" w:hAnsi="Times New Roman"/>
          <w:sz w:val="18"/>
          <w:szCs w:val="18"/>
          <w:color w:val="auto"/>
        </w:rPr>
        <w:t>of their debt, declaring bankruptcy, going concern, borrower’s securities have been delisted, and other indicators of inability to meet obligations. This list does not include all potential indicators of a borrower’s financial difficulties. Each debt modification is separately negotiated with the borrower and includes terms and conditions that reflect the borrower’s prospective ability to service their obligations as modified. The ACL on loans that are considered MBFD’s are measured using the same method as all other loans held for investment.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 - Off-Balance Sheet Credit Exposures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maintains a separate ACL for off-balance sheet credit exposures, including unfunded loan commitments. Such ACL is included in other liabilities on the Company’s unaudited condensed consolidated statements of financial condition. The Company estimates the amount of expected losses by calculating a commitment usage factor over the contractual period for exposures and applying the loss factors used in the ACL methodology to the results of the usage calculation to estimate the liability for credit losses related to unfunded commitments for each loan segment. No credit loss estimate is recorded for off-balance sheet credit exposures that are unconditionally cancellable by the Company. At September 30, 2026 and December 31, 2025, the Company had an ACL of $28,219,000 and $29,973,000, respectively, for off-balance sheet credit exposures.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Provision for Credit Losses</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recognizes provision for credit losses on the allowance for off-balance sheet credit exposures (e.g., unfunded loan commitments) together with provision for credit losses on the loan portfolio in the unaudited condensed consolidated statements of operations line item provision for credit losses.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provision for credit losses on the loan portfolio and off-balance sheet exposures: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0"/>
                <w:szCs w:val="20"/>
                <w:color w:val="auto"/>
              </w:rPr>
            </w:pPr>
          </w:p>
        </w:tc>
        <w:tc>
          <w:tcPr>
            <w:tcW w:w="324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660" w:type="dxa"/>
            <w:vAlign w:val="bottom"/>
            <w:gridSpan w:val="2"/>
          </w:tcPr>
          <w:p>
            <w:pPr>
              <w:ind w:left="26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68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8"/>
                <w:szCs w:val="18"/>
                <w:color w:val="auto"/>
                <w:w w:val="99"/>
              </w:rPr>
              <w:t>September 30,</w:t>
            </w:r>
          </w:p>
        </w:tc>
        <w:tc>
          <w:tcPr>
            <w:tcW w:w="156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September 30,</w:t>
            </w:r>
          </w:p>
        </w:tc>
      </w:tr>
      <w:tr>
        <w:trPr>
          <w:trHeight w:val="189"/>
        </w:trPr>
        <w:tc>
          <w:tcPr>
            <w:tcW w:w="20" w:type="dxa"/>
            <w:vAlign w:val="bottom"/>
          </w:tcPr>
          <w:p>
            <w:pPr>
              <w:spacing w:after="0"/>
              <w:rPr>
                <w:sz w:val="16"/>
                <w:szCs w:val="16"/>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6"/>
                <w:szCs w:val="16"/>
                <w:color w:val="auto"/>
              </w:rPr>
            </w:pPr>
          </w:p>
        </w:tc>
        <w:tc>
          <w:tcPr>
            <w:tcW w:w="1380" w:type="dxa"/>
            <w:vAlign w:val="bottom"/>
          </w:tcPr>
          <w:p>
            <w:pPr>
              <w:jc w:val="right"/>
              <w:ind w:right="51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560" w:type="dxa"/>
            <w:vAlign w:val="bottom"/>
          </w:tcPr>
          <w:p>
            <w:pPr>
              <w:jc w:val="right"/>
              <w:ind w:right="51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6"/>
                <w:szCs w:val="16"/>
                <w:color w:val="auto"/>
              </w:rPr>
            </w:pPr>
          </w:p>
        </w:tc>
        <w:tc>
          <w:tcPr>
            <w:tcW w:w="1560" w:type="dxa"/>
            <w:vAlign w:val="bottom"/>
          </w:tcPr>
          <w:p>
            <w:pPr>
              <w:jc w:val="right"/>
              <w:ind w:right="51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6"/>
                <w:szCs w:val="16"/>
                <w:color w:val="auto"/>
              </w:rPr>
            </w:pPr>
          </w:p>
        </w:tc>
        <w:tc>
          <w:tcPr>
            <w:tcW w:w="1560" w:type="dxa"/>
            <w:vAlign w:val="bottom"/>
          </w:tcPr>
          <w:p>
            <w:pPr>
              <w:jc w:val="right"/>
              <w:ind w:right="510"/>
              <w:spacing w:after="0" w:line="189"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 -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19,282</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29,355</w:t>
            </w:r>
          </w:p>
        </w:tc>
      </w:tr>
      <w:tr>
        <w:trPr>
          <w:trHeight w:val="243"/>
        </w:trPr>
        <w:tc>
          <w:tcPr>
            <w:tcW w:w="20" w:type="dxa"/>
            <w:vAlign w:val="bottom"/>
            <w:tcBorders>
              <w:bottom w:val="single" w:sz="8" w:color="CCEEFF"/>
            </w:tcBorders>
          </w:tcPr>
          <w:p>
            <w:pPr>
              <w:spacing w:after="0"/>
              <w:rPr>
                <w:sz w:val="21"/>
                <w:szCs w:val="21"/>
                <w:color w:val="auto"/>
              </w:rPr>
            </w:pPr>
          </w:p>
        </w:tc>
        <w:tc>
          <w:tcPr>
            <w:tcW w:w="4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Provision for credit loss - unfunded</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98"/>
              </w:rPr>
              <w:t>(1,754)</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provision for credit losses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17,528</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provision for credit losses on debt securities for the nine months ended September 30, 2026 and 2025,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Premises and Equipment</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Premises and equipment are accounted for at cost less depreciation. Depreciation is computed on a straight-line method over the estimated useful lives or the term of the related lease. The estimated useful life for office buildings is 15 to 40 years and the estimated useful life for furniture, fixtures, and equipment is 3 to 10 years. Interest is capitalized for any significant building projects.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1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Company leases certain land, premises and equipment from third parties. A lessee lease is classified as an operating lease unless it meets certain criteria (e.g., lease contains option to purchase that Company is reasonably certain to exercise), in which case it is classified as a finance lease. These leases are included in net premises and equipment as right-of-use (“ROU”) assets on the Company’s unaudited condensed consolidated statements of financial condition. The operating leases have an ROU liability in operating lease liabilities on the Company’s unaudited condensed consolidated statements of financial condition and lease expense for lease payments is recognized on a straight-line basis over the lease term. The finance leases have liabilities that are included in finance lease liabilities on the Company’s unaudited condensed consolidated statements of financial condition. The interest expense incurred on the finance lease liability is included in interest expense on other borrowed funds on the Company’s unaudited condensed consolidated statements of operations. ROU assets and liabilities are recognized at the lease commencement date based on the present value of lease payments over the lease term. An ROU asset represents the right to use the underlying asset for the lease term and also includes any direct costs and payments made prior to lease commencement and excludes lease incentives. When an implicit rate is not available, an incremental borrowing rate for the Company based on the information available at commencement date is used in determining the present value of the lease payments. A lease term will include an option to extend or terminate the lease when it is reasonably certain the option will be exercised. The Company accounts for lease and non-lease components (e.g., common-area maintenance) together as a single combined lease component for all asset classes. The Company has elected to recognize payments for short-term leases of 12 months or less on a straight-line basis over the lease term, and exclude such leases from the Company’s unaudited condensed consolidated statements of financial condition. Renewal and termination options are considered when determining short-term leases. Leases are accounted for on an individual lease level.</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Lease improvements incurred at the inception of the lease are recorded as an asset and depreciated over the initial term of the lease and lease improvements incurred subsequently are depreciated over the remaining term of the lease.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leases certain premises and equipment to third parties. A lessor lease is classified as an operating lease unless it meets certain criteria that would classify it as either a sales-type lease or a direct financing lease. For additional information relating to leases, see Note 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Real Estate Owned</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Property acquired by foreclosure or deed-in-lieu of foreclosure is initially recorded at fair value, less estimated selling cost, at acquisition date (i.e., cost of the property). The Company is considered to have received physical possession of residential real estate property collateralizing a consumer mortgage loan upon the occurrence of either the Company obtaining legal title to the property or the borrower conveying all interest in the property through a deed-in-lieu or similar agreement. Fair value is determined as the amount that could be reasonably expected in a current sale between a willing buyer and a willing seller in an orderly transaction between market participants at the measurement date. Subsequent to the initial acquisition, if the fair value of the asset, less estimated selling cost, is less than the cost of the property, a loss is recognized in other expense and the asset carrying value is reduced. Gain or loss on disposition of OREO is recorded in non-interest income or non-interest expense, respectively. In determining the fair value of the properties on the date of transfer and any subsequent estimated losses of net realizable value, the fair value of OREO acquired by foreclosure or deed-in-lieu of foreclosure is determined primarily based upon appraisal or evaluation of the underlying property value.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 and Intangible Assets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Acquisition accounting requires the total purchase price to be allocated to the estimated fair values of assets acquired and liabilities assumed, including certain intangible assets. Goodwill is recorded if the purchase price exceeds the net fair value of assets acquired and a bargain purchase gain is recorded in other income if the net fair value of assets acquired exceeds the purchase price.</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Adjustment of the allocated purchase price may be related to fair value estimates for which all information has not been obtained for the acquired entity and becomes known or discovered during the allocation period, the period of time required to identify and measure the fair values of the assets and liabilities acquired in the business combination. The allocation period is generally limited to one year following consummation of a business combination.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Core deposit intangible represents the intangible value of depositor relationships resulting from deposit liabilities assumed in acquisitions and is amortized using an accelerated method based on an estimated runoff of the related deposits. The core deposit intangible is evaluated for impairment and recoverability whenever events or changes in circumstances indicate that its carrying amount may not be recoverable, with any changes in estimated useful life accounted for prospectively over the revised remaining life.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tests goodwill for impairment at the reporting unit level annually during the third quarter. The Company has identified the aggregated Bank divisions as a single reporting unit (i.e., a component of the Bank operating segment) given that each division has similar economic characteristics, products, services, and are all subject to Federal Deposit Insurance Corporation (“FDIC”) oversight under one regulatory call report.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goodwill of a reporting unit is tested for impairment between annual tests if an event occurs or circumstances change that would more-likely-than-not reduce the fair value of a reporting unit below its carrying amount. Examples of events and circumstances that could trigger the need for interim impairment testing include:</w:t>
      </w:r>
    </w:p>
    <w:p>
      <w:pPr>
        <w:spacing w:after="0" w:line="6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change in legal factors or in the business climate;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action or assessment by a regulator;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more-likely-than-not expectation that a reporting unit or a significant portion of a reporting unit will be sold or otherwise disposed of;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testing for recoverability of a significant asset group within a reporting unit.</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goodwill impairment assessment, the Company has the option to first assess qualitative factors to determine whether the existence of events or circumstances leads to a determination that it is more-likely-than-not that the fair value of a reporting unit is less than its carrying value. The Company elected to bypass the qualitative assessment for its 2026 annual goodwill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impairment testing and proceed directly to the goodwill impairment assessment. The goodwill impairment process requires the Company to make assumptions and judgments regarding fair value. The Company calculates an implied fair value for the reporting unit and if the implied fair value is less than the carrying value, an impairment loss is recognized for the difference. For additional information relating to goodwill, see Note 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Servicing Rights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residential real estate loans that are sold with servicing retained, servicing rights are initially recorded at fair value in other assets and gain on sale of loans. Fair value is based on market prices for comparable mortgage servicing contracts. The servicing asset is subsequently measured using the amortization method which requires the servicing rights to be amortized into non-interest income in proportion to, and over the period of, the estimated future net servicing income of the underlying loans.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 servicing rights are evaluated for impairment based upon the fair value of the servicing rights compared to the carrying value. Impairment is recognized through a valuation allowance, to the extent that fair value is less than the carrying value. If the Company later determines that all or a portion of the impairment no longer exists, a reduction in the valuation allowance may be recorded. Changes in the valuation allowance are recorded in other income. The fair value of the servicing assets are subject to significant fluctuations as a result of changes in estimated actual prepayment speeds and default rates and losses.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Servicing fee income is recognized in other income for fees earned for servicing loans. The fees are based on contractual percentage of the outstanding principal; or a fixed amount per loan and is recorded when earned. The amortization of loan servicing rights is netted against loan servicing fee income. For additional information relating to loan servicing rights, see Note 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Securities</w:t>
      </w:r>
    </w:p>
    <w:p>
      <w:pPr>
        <w:spacing w:after="0" w:line="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Federal Home Loan Bank (“FHLB”) stock is restricted because such stock may only be sold to FHLB at its par value. Due to restrictive terms, and the lack of a readily determinable fair value, FHLB stock is carried at cost and evaluated for impairment. The investments in FHLB stock are required investments related to the Company’s borrowings from FHLB. FHLB obtains its funding primarily through issuance of consolidated obligations of the FHLB system. The U.S. government does not guarantee these obligations, and each of the regional FHLBs is jointly and severally liable for repayment of each other’s debt.</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other equity securities that are included in other assets on the Company’s unaudited condensed consolidated statements of financial condition. Equity securities with readily determinable fair values are measured at fair value and changes in fair value are recognized in other income. Equity securities without readily determinable fair values are carried at cost, minus impairment, if any, plus or minus changes resulting from observable price changes in orderly transactions for the identical or a similar investment. For equity securities that qualify for the practical expedient method using the net asset value, the equity security is measured at the net asset value and changes in the fair value are recognized in other income.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Borrowed Funds</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Borrowings of the Company’s consolidated VIEs and finance lease arrangements are included in other borrowed funds. For additional information relating to VIE’s, see Note 7.</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Bank-Owned Life Insurance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bank-owned life insurance policies on certain current and former employees and directors, which are recorded at their cash surrender values as determined by the insurance carriers. The appreciation in the cash surrender value of the policies is recognized as a component of other income in non-interest income in the Company’s unaudited condensed consolidated statements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 and Hedging Activities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exposed to certain risks relating to its ongoing operations. The primary risk managed by using derivative instruments is interest rate risk. The Company does not enter into derivative instruments for trading or speculative purposes. At the inception of a derivative contract, the Company designates the derivatives as one of three types based on the intention of the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(“non-designated derivative”).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Derivatives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derivatives designated in fair value hedges and cash flow hedges are recognized as other assets or other liabilities on the Company’s unaudited condensed consolidated statements of financial condition and are measured at fair value. Earnings effect</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of fair value hedges and cash flow hedge derivatives are recognized in the same statement of operations line item that is used to present the earnings effect of the hedged item. Cash flows resulting from the fair value hedge and cash flow hedge derivatives are classified in the Company’s cash flow statement in the same category as the cash flows of the items being hedged. For a fair value hedge, the gain or loss on the derivative included in the effectiveness testing, as well as the offsetting gain or loss on the hedged item attributable to the hedged risk, are recognized in earnings as fair value changes. For a fair value hedge, the Company has elected that the amounts excluded from the initial assessment of effectiveness will be amortized in earnings using a systematic and rational method with any difference in the fair value of the excluded component and amounts recognized in earnings to be recognized in OCI. For a cash flow hedge, the gain or loss on the derivative is reported in OCI and is reclassified into earnings in the same periods during which the hedged transaction affects earnings.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unaudited condensed consolidated statements of financial condition or to specific firm commitments or forecasted transactions. The Company then formally assesses, both at the hedge’s inception and on an ongoing basis, whether the derivative instruments that are designated are highly effective in offsetting changes in cash flows or fair values of the hedged items. The Company has elected not to offset the fair value amounts recognized for derivative instruments and the fair value amounts recognized for the right to reclaim cash collateral arising from derivative instruments recognized at fair value executed with the same counterparty under a master netting arrangement.</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OCI are amortized into earnings over the same periods which the hedged transactions will affect earnings.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Non-Designated Derivatives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Commitments to fund mortgage loans (“interest rate locks”) to be sold on the secondary market and forward commitments for the future delivery of these mortgage loans are accounted for as non-designated derivatives. The fair value of the interest rate lock is recorded at the time the commitment to fund the mortgage loan is executed and is adjusted for the expected exercise of the commitment before the loan is funded. In order to economically hedge the change in interest rates resulting from its commitment to fund the majority of these loans, the Company enters into forward commitments to sell to-be-announced (“TBA”) securities which are used to economically hedge the interest rate risk associated with such loans and unfunded commitments. For all other residential real estate loans to be sold, the Company enters into “best efforts” forward sales commitments for the future delivery of loans to third party investors when interest rate lock commitments are entered into in order to economically hedge the effect of changes in interest rates resulting from its commitments to fund the loans. Forward sales commitments on a “best efforts” basis are not derivatives until the loan is funded. Fair values of these mortgage derivatives are estimated based on changes in mortgage interest rates from the date the interest on the loan is locked. Changes in the fair values of these derivatives are included in net gains on sales of loans.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relating to the derivatives and hedging activity, see Note 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recognizes revenue when services or products are transferred to customers in an amount that reflects the consideration to which the Company expects to be entitled. Revenue from contracts with customers was $84,268,000 and $72,540,000 for the nine months ended September 30, 2026 and 2025, respectively, and largely consisted of revenue from service charges and other fees from deposits (e.g., overdraft fees, automated teller machine (“ATM”) fees, debit card fees). Due to the short-term nature of the Company’s contracts with customers, an insignificant amount of receivables related to such revenue was recorded at September 30, 2026 and December 31, 2025 and there were no impairment losses recognized. Policies specific to revenue from contracts with customers include the following:</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Service Charges. </w:t>
      </w:r>
      <w:r>
        <w:rPr>
          <w:rFonts w:ascii="Times New Roman" w:cs="Times New Roman" w:eastAsia="Times New Roman" w:hAnsi="Times New Roman"/>
          <w:sz w:val="18"/>
          <w:szCs w:val="18"/>
          <w:color w:val="auto"/>
        </w:rPr>
        <w:t>Revenue from service charges consists of service charges and fees on deposit accounts under depository agreements with customers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access to deposited funds and, when applicable, pay interest on deposits. Service charges on deposit accounts may be transactional or non-transactional in nature. Transactional service charges occur in the form of a service or penalty and are charged upon the occurrence of an event (e.g., overdraft fees, ATM fees, wire transfer fees). Transactional service charges are recognized as services are delivered to and consumed by the customer, or as penalty fees are charged. Non-transactional service charges are charges that are based on a broader service, such as account maintenance fees and dormancy fees, and are recognized on a monthly basis.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Debit Card Fees. </w:t>
      </w:r>
      <w:r>
        <w:rPr>
          <w:rFonts w:ascii="Times New Roman" w:cs="Times New Roman" w:eastAsia="Times New Roman" w:hAnsi="Times New Roman"/>
          <w:sz w:val="18"/>
          <w:szCs w:val="18"/>
          <w:color w:val="auto"/>
        </w:rPr>
        <w:t>Revenue from debit card fees includes interchange fee income from debit cards processed through card association networks. Interchange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represent a portion of a transaction amount that the Company and other involved parties retain to compensate themselves for giving the cardholder immediate access to funds. Interchange rates are generally set by the card association networks and are based on purchase volumes and other factors. The Company records interchange fees as services are provided and is included in payment services on the unaudited condensed consolidated statements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Reclassifications</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Certain reclassifications have been made to the 2025 financial statements to conform to the 2026 presentation. These reclassifications had no effect on net earnings.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Guidance Pending Adoption</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ASC is the Financial Accounting Standards Board (“FASB”) officially recognized source of authoritative GAAP applicable to all public and non-public non-governmental entities. Rules and interpretive releases of the Securities and Exchange Commission (“SEC”) under the authority of the federal securities laws are also sources of authoritative GAAP for the Company as an SEC registrant. All other accounting literature is non-authoritative. The following provides a description of recently issued but not yet effective ASUs that could have a material effect on the Company’s financial position, results of operations or it’s disclosures.</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ASU 2024-03 - Disaggregation of Income Statement Expenses. </w:t>
      </w:r>
      <w:r>
        <w:rPr>
          <w:rFonts w:ascii="Times New Roman" w:cs="Times New Roman" w:eastAsia="Times New Roman" w:hAnsi="Times New Roman"/>
          <w:sz w:val="18"/>
          <w:szCs w:val="18"/>
          <w:color w:val="auto"/>
        </w:rPr>
        <w:t>In November 2024, FASB amended ASC subtopic 220-40 which requires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disclosures of the income statement (the “Update”). The amendments require new financial statement disclosures in tabular format, disaggregating information about prescribed categories underlying any relevant income statement expense caption. The prescribed categories include, among other things, employee compensation, depreciation and intangible amortization. The amendments are effective for public business entities in the first annual reporting period beginning after December 15, 2026, and interim reporting periods with annual reporting periods beginning after December 15, 2027, with early adoption permitted. The amendments in this update may be applied on a prospective basis or retrospective to any or all prior periods presented in the financial statements. The Company is currently evaluating the impact of this Update, but does not expect the adoption of this guidance to have a material impact to the unaudited condensed consolidated financial statements, including related disclosures, or significant impact on its current processes.</w:t>
      </w: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ASU 2025-08 - Financial Instruments - Credit Losses. </w:t>
      </w:r>
      <w:r>
        <w:rPr>
          <w:rFonts w:ascii="Times New Roman" w:cs="Times New Roman" w:eastAsia="Times New Roman" w:hAnsi="Times New Roman"/>
          <w:sz w:val="18"/>
          <w:szCs w:val="18"/>
          <w:color w:val="auto"/>
        </w:rPr>
        <w:t>In November 2025, FASB amended ASC Topic 326 related to purchased loans (the “Update”).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the Update expand the population of acquired financial assets subject to the gross-up approach in Topic 326. Loans acquired without credit deterioration and deemed seasoned are considered purchased seasoned loans and accounted for using the gross-up approach at acquisition. All non-PCD loans that are acquired in a business combination are deemed seasoned. The amendments in this Update are effective for all entities for annual reporting periods beginning after December 15, 2026. Early adoption is permitted and the amendments should be applied prospectively to loans that are acquired on or after the initial application date. The Company is currently evaluating the impact of this Update.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2. Debt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amortized cost, the gross unrealized gains and losses and the fair value of the Company’s debt securities:</w:t>
      </w:r>
    </w:p>
    <w:p>
      <w:pPr>
        <w:spacing w:after="0" w:line="4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17145</wp:posOffset>
            </wp:positionV>
            <wp:extent cx="4054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rPr>
              <w:t>Amortized</w:t>
            </w:r>
          </w:p>
        </w:tc>
        <w:tc>
          <w:tcPr>
            <w:tcW w:w="16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Gross</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Gross</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4"/>
            <w:vMerge w:val="continue"/>
          </w:tcPr>
          <w:p>
            <w:pPr>
              <w:spacing w:after="0"/>
              <w:rPr>
                <w:sz w:val="15"/>
                <w:szCs w:val="15"/>
                <w:color w:val="auto"/>
              </w:rPr>
            </w:pPr>
          </w:p>
        </w:tc>
        <w:tc>
          <w:tcPr>
            <w:tcW w:w="1620" w:type="dxa"/>
            <w:vAlign w:val="bottom"/>
            <w:gridSpan w:val="4"/>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16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4"/>
          </w:tcPr>
          <w:p>
            <w:pPr>
              <w:jc w:val="center"/>
              <w:ind w:right="320"/>
              <w:spacing w:after="0" w:line="169" w:lineRule="exact"/>
              <w:rPr>
                <w:sz w:val="20"/>
                <w:szCs w:val="20"/>
                <w:color w:val="auto"/>
              </w:rPr>
            </w:pPr>
            <w:r>
              <w:rPr>
                <w:rFonts w:ascii="Times New Roman" w:cs="Times New Roman" w:eastAsia="Times New Roman" w:hAnsi="Times New Roman"/>
                <w:sz w:val="18"/>
                <w:szCs w:val="18"/>
                <w:color w:val="auto"/>
              </w:rPr>
              <w:t>Cost</w:t>
            </w:r>
          </w:p>
        </w:tc>
        <w:tc>
          <w:tcPr>
            <w:tcW w:w="1620" w:type="dxa"/>
            <w:vAlign w:val="bottom"/>
            <w:gridSpan w:val="4"/>
          </w:tcPr>
          <w:p>
            <w:pPr>
              <w:jc w:val="center"/>
              <w:ind w:right="80"/>
              <w:spacing w:after="0" w:line="169" w:lineRule="exact"/>
              <w:rPr>
                <w:sz w:val="20"/>
                <w:szCs w:val="20"/>
                <w:color w:val="auto"/>
              </w:rPr>
            </w:pPr>
            <w:r>
              <w:rPr>
                <w:rFonts w:ascii="Times New Roman" w:cs="Times New Roman" w:eastAsia="Times New Roman" w:hAnsi="Times New Roman"/>
                <w:sz w:val="18"/>
                <w:szCs w:val="18"/>
                <w:color w:val="auto"/>
                <w:w w:val="99"/>
              </w:rPr>
              <w:t>Gains</w:t>
            </w:r>
          </w:p>
        </w:tc>
        <w:tc>
          <w:tcPr>
            <w:tcW w:w="162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7"/>
              </w:rPr>
              <w:t>Losses</w:t>
            </w:r>
          </w:p>
        </w:tc>
        <w:tc>
          <w:tcPr>
            <w:tcW w:w="15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government and federal agency</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sponsored enterprises</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125,895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120,463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2,030,585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(217,075)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1,813,700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1,512,356</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(50,845)</w:t>
            </w: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1,461,541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available-for-sale</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3,870,660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(276,205)</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3,595,063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government and federal agency</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730,397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710,072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1,553,434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(257,335)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1,296,385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534,102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497,414</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shd w:val="clear" w:color="auto" w:fill="CCEEFF"/>
          </w:tcPr>
          <w:p>
            <w:pPr>
              <w:spacing w:after="0"/>
              <w:rPr>
                <w:sz w:val="20"/>
                <w:szCs w:val="20"/>
                <w:color w:val="auto"/>
              </w:rPr>
            </w:pPr>
          </w:p>
        </w:tc>
        <w:tc>
          <w:tcPr>
            <w:tcW w:w="4800" w:type="dxa"/>
            <w:vAlign w:val="bottom"/>
            <w:tcBorders>
              <w:top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held-to-maturity</w:t>
            </w: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2,817,933</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(314,348)</w:t>
            </w:r>
          </w:p>
        </w:tc>
        <w:tc>
          <w:tcPr>
            <w:tcW w:w="100" w:type="dxa"/>
            <w:vAlign w:val="bottom"/>
            <w:tcBorders>
              <w:top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2,503,871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 debt securities</w:t>
            </w:r>
          </w:p>
        </w:tc>
        <w:tc>
          <w:tcPr>
            <w:tcW w:w="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6,688,593</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(590,553)</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6,098,934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8"/>
                <w:szCs w:val="18"/>
                <w:color w:val="auto"/>
              </w:rPr>
              <w:t>December 31, 2025</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18"/>
                <w:szCs w:val="18"/>
                <w:color w:val="auto"/>
              </w:rPr>
              <w:t>Amortized</w:t>
            </w:r>
          </w:p>
        </w:tc>
        <w:tc>
          <w:tcPr>
            <w:tcW w:w="1620" w:type="dxa"/>
            <w:vAlign w:val="bottom"/>
            <w:gridSpan w:val="4"/>
          </w:tcPr>
          <w:p>
            <w:pPr>
              <w:jc w:val="center"/>
              <w:ind w:right="160"/>
              <w:spacing w:after="0" w:line="182" w:lineRule="exact"/>
              <w:rPr>
                <w:sz w:val="20"/>
                <w:szCs w:val="20"/>
                <w:color w:val="auto"/>
              </w:rPr>
            </w:pPr>
            <w:r>
              <w:rPr>
                <w:rFonts w:ascii="Times New Roman" w:cs="Times New Roman" w:eastAsia="Times New Roman" w:hAnsi="Times New Roman"/>
                <w:sz w:val="18"/>
                <w:szCs w:val="18"/>
                <w:color w:val="auto"/>
                <w:w w:val="99"/>
              </w:rPr>
              <w:t>Gross</w:t>
            </w:r>
          </w:p>
        </w:tc>
        <w:tc>
          <w:tcPr>
            <w:tcW w:w="162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8"/>
                <w:szCs w:val="18"/>
                <w:color w:val="auto"/>
                <w:w w:val="99"/>
              </w:rPr>
              <w:t>Gross</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4"/>
            <w:vMerge w:val="continue"/>
          </w:tcPr>
          <w:p>
            <w:pPr>
              <w:spacing w:after="0"/>
              <w:rPr>
                <w:sz w:val="15"/>
                <w:szCs w:val="15"/>
                <w:color w:val="auto"/>
              </w:rPr>
            </w:pPr>
          </w:p>
        </w:tc>
        <w:tc>
          <w:tcPr>
            <w:tcW w:w="1620" w:type="dxa"/>
            <w:vAlign w:val="bottom"/>
            <w:gridSpan w:val="4"/>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16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Unrealized</w:t>
            </w: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4"/>
          </w:tcPr>
          <w:p>
            <w:pPr>
              <w:jc w:val="center"/>
              <w:ind w:right="400"/>
              <w:spacing w:after="0" w:line="189" w:lineRule="exact"/>
              <w:rPr>
                <w:sz w:val="20"/>
                <w:szCs w:val="20"/>
                <w:color w:val="auto"/>
              </w:rPr>
            </w:pPr>
            <w:r>
              <w:rPr>
                <w:rFonts w:ascii="Times New Roman" w:cs="Times New Roman" w:eastAsia="Times New Roman" w:hAnsi="Times New Roman"/>
                <w:sz w:val="18"/>
                <w:szCs w:val="18"/>
                <w:color w:val="auto"/>
              </w:rPr>
              <w:t>Cost</w:t>
            </w:r>
          </w:p>
        </w:tc>
        <w:tc>
          <w:tcPr>
            <w:tcW w:w="1620" w:type="dxa"/>
            <w:vAlign w:val="bottom"/>
            <w:gridSpan w:val="4"/>
          </w:tcPr>
          <w:p>
            <w:pPr>
              <w:jc w:val="center"/>
              <w:ind w:right="160"/>
              <w:spacing w:after="0" w:line="189" w:lineRule="exact"/>
              <w:rPr>
                <w:sz w:val="20"/>
                <w:szCs w:val="20"/>
                <w:color w:val="auto"/>
              </w:rPr>
            </w:pPr>
            <w:r>
              <w:rPr>
                <w:rFonts w:ascii="Times New Roman" w:cs="Times New Roman" w:eastAsia="Times New Roman" w:hAnsi="Times New Roman"/>
                <w:sz w:val="18"/>
                <w:szCs w:val="18"/>
                <w:color w:val="auto"/>
                <w:w w:val="99"/>
              </w:rPr>
              <w:t>Gains</w:t>
            </w:r>
          </w:p>
        </w:tc>
        <w:tc>
          <w:tcPr>
            <w:tcW w:w="162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rPr>
              <w:t>Losses</w:t>
            </w:r>
          </w:p>
        </w:tc>
        <w:tc>
          <w:tcPr>
            <w:tcW w:w="1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government and federal agency</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257,650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255,930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sponsored enterprises</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315,675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165,305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164,084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2,391,698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(177,996)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2,215,119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1,069,355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(44,411)</w:t>
            </w: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1,025,942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available-for-sale</w:t>
            </w: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4,233,374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(229,941)</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4,007,512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government and federal agency</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865,696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841,567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1,587,673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(175,623)</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1,413,391</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8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656,847</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(31,913)</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625,158</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held-to-maturity</w:t>
            </w:r>
          </w:p>
        </w:tc>
        <w:tc>
          <w:tcPr>
            <w:tcW w:w="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3,110,216</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(231,665)</w:t>
            </w:r>
          </w:p>
        </w:tc>
        <w:tc>
          <w:tcPr>
            <w:tcW w:w="100" w:type="dxa"/>
            <w:vAlign w:val="bottom"/>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2,880,116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 debt securities</w:t>
            </w: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7,343,590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(461,606)</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Maturity Analysis</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amortized cost and fair value of AFS and HTM debt securities by contractual maturity at September 30, 2026. Actual maturities may differ from expected or contractual maturities since some issuers have the right to prepay obligations with or without prepayment penalties.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8"/>
                <w:szCs w:val="18"/>
                <w:color w:val="auto"/>
              </w:rPr>
              <w:t>September 30, 2026</w:t>
            </w:r>
          </w:p>
        </w:tc>
        <w:tc>
          <w:tcPr>
            <w:tcW w:w="1540" w:type="dxa"/>
            <w:vAlign w:val="bottom"/>
            <w:tcBorders>
              <w:bottom w:val="single" w:sz="8" w:color="auto"/>
            </w:tcBorders>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Available-for-Sale</w:t>
            </w:r>
          </w:p>
        </w:tc>
        <w:tc>
          <w:tcPr>
            <w:tcW w:w="100" w:type="dxa"/>
            <w:vAlign w:val="bottom"/>
          </w:tcPr>
          <w:p>
            <w:pPr>
              <w:spacing w:after="0"/>
              <w:rPr>
                <w:sz w:val="20"/>
                <w:szCs w:val="20"/>
                <w:color w:val="auto"/>
              </w:rPr>
            </w:pPr>
          </w:p>
        </w:tc>
        <w:tc>
          <w:tcPr>
            <w:tcW w:w="318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Held-to-Maturity</w:t>
            </w:r>
          </w:p>
        </w:tc>
      </w:tr>
      <w:tr>
        <w:trPr>
          <w:trHeight w:val="183"/>
        </w:trPr>
        <w:tc>
          <w:tcPr>
            <w:tcW w:w="4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5"/>
                <w:szCs w:val="15"/>
                <w:color w:val="auto"/>
              </w:rPr>
            </w:pPr>
          </w:p>
        </w:tc>
        <w:tc>
          <w:tcPr>
            <w:tcW w:w="148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 Cost</w:t>
            </w:r>
          </w:p>
        </w:tc>
        <w:tc>
          <w:tcPr>
            <w:tcW w:w="1640" w:type="dxa"/>
            <w:vAlign w:val="bottom"/>
            <w:gridSpan w:val="2"/>
          </w:tcPr>
          <w:p>
            <w:pPr>
              <w:ind w:left="400"/>
              <w:spacing w:after="0" w:line="169" w:lineRule="exact"/>
              <w:rPr>
                <w:sz w:val="20"/>
                <w:szCs w:val="20"/>
                <w:color w:val="auto"/>
              </w:rPr>
            </w:pPr>
            <w:r>
              <w:rPr>
                <w:rFonts w:ascii="Times New Roman" w:cs="Times New Roman" w:eastAsia="Times New Roman" w:hAnsi="Times New Roman"/>
                <w:sz w:val="18"/>
                <w:szCs w:val="18"/>
                <w:color w:val="auto"/>
              </w:rPr>
              <w:t>Fair Value</w:t>
            </w:r>
          </w:p>
        </w:tc>
        <w:tc>
          <w:tcPr>
            <w:tcW w:w="1640" w:type="dxa"/>
            <w:vAlign w:val="bottom"/>
            <w:gridSpan w:val="2"/>
          </w:tcPr>
          <w:p>
            <w:pPr>
              <w:ind w:left="180"/>
              <w:spacing w:after="0" w:line="169" w:lineRule="exact"/>
              <w:rPr>
                <w:sz w:val="20"/>
                <w:szCs w:val="20"/>
                <w:color w:val="auto"/>
              </w:rPr>
            </w:pPr>
            <w:r>
              <w:rPr>
                <w:rFonts w:ascii="Times New Roman" w:cs="Times New Roman" w:eastAsia="Times New Roman" w:hAnsi="Times New Roman"/>
                <w:sz w:val="18"/>
                <w:szCs w:val="18"/>
                <w:color w:val="auto"/>
              </w:rPr>
              <w:t>Amortized Cost</w:t>
            </w:r>
          </w:p>
        </w:tc>
        <w:tc>
          <w:tcPr>
            <w:tcW w:w="154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4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132,268</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131,008</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458,997</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452,327</w:t>
            </w:r>
          </w:p>
        </w:tc>
      </w:tr>
      <w:tr>
        <w:trPr>
          <w:trHeight w:val="243"/>
        </w:trPr>
        <w:tc>
          <w:tcPr>
            <w:tcW w:w="4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399,930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381,989</w:t>
            </w:r>
          </w:p>
        </w:tc>
      </w:tr>
      <w:tr>
        <w:trPr>
          <w:trHeight w:val="243"/>
        </w:trPr>
        <w:tc>
          <w:tcPr>
            <w:tcW w:w="4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53,147</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50,527</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265,966</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245,146</w:t>
            </w:r>
          </w:p>
        </w:tc>
      </w:tr>
      <w:tr>
        <w:trPr>
          <w:trHeight w:val="243"/>
        </w:trPr>
        <w:tc>
          <w:tcPr>
            <w:tcW w:w="47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49,806</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46,263</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1,158,938</w:t>
            </w: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926,995</w:t>
            </w:r>
          </w:p>
        </w:tc>
      </w:tr>
      <w:tr>
        <w:trPr>
          <w:trHeight w:val="237"/>
        </w:trPr>
        <w:tc>
          <w:tcPr>
            <w:tcW w:w="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327,719</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319,822</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2,283,831</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2,006,457</w:t>
            </w:r>
          </w:p>
        </w:tc>
      </w:tr>
      <w:tr>
        <w:trPr>
          <w:trHeight w:val="243"/>
        </w:trPr>
        <w:tc>
          <w:tcPr>
            <w:tcW w:w="4740" w:type="dxa"/>
            <w:vAlign w:val="bottom"/>
            <w:tcBorders>
              <w:bottom w:val="single" w:sz="8" w:color="CCEEFF"/>
            </w:tcBorders>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Mortgage-backed securities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3,542,941</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3,275,241</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534,102</w:t>
            </w: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497,414</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4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3,870,660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3,595,063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2,817,933</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2,503,871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120" w:hanging="112"/>
        <w:spacing w:after="0" w:line="215" w:lineRule="auto"/>
        <w:tabs>
          <w:tab w:leader="none" w:pos="1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Mortgage-backed securities, which have prepayment provisions, are not assigned to maturity categories due to fluctuations in their prepayment speeds.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Sales and Calls of Debt Securities</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Proceeds from sales and calls of debt securities and the associated gains and losses that have been included in earnings in gain (loss) on sale of securities are listed below:</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0"/>
                <w:szCs w:val="20"/>
                <w:color w:val="auto"/>
              </w:rPr>
            </w:pPr>
          </w:p>
        </w:tc>
        <w:tc>
          <w:tcPr>
            <w:tcW w:w="318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740" w:type="dxa"/>
            <w:vAlign w:val="bottom"/>
            <w:gridSpan w:val="2"/>
          </w:tcPr>
          <w:p>
            <w:pPr>
              <w:ind w:left="30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640" w:type="dxa"/>
            <w:vAlign w:val="bottom"/>
            <w:gridSpan w:val="2"/>
          </w:tcPr>
          <w:p>
            <w:pPr>
              <w:ind w:left="26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54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September 30,</w:t>
            </w:r>
          </w:p>
        </w:tc>
      </w:tr>
      <w:tr>
        <w:trPr>
          <w:trHeight w:val="189"/>
        </w:trPr>
        <w:tc>
          <w:tcPr>
            <w:tcW w:w="20" w:type="dxa"/>
            <w:vAlign w:val="bottom"/>
          </w:tcPr>
          <w:p>
            <w:pPr>
              <w:spacing w:after="0"/>
              <w:rPr>
                <w:sz w:val="16"/>
                <w:szCs w:val="16"/>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144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64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6"/>
                <w:szCs w:val="16"/>
                <w:color w:val="auto"/>
              </w:rPr>
            </w:pPr>
          </w:p>
        </w:tc>
        <w:tc>
          <w:tcPr>
            <w:tcW w:w="1540" w:type="dxa"/>
            <w:vAlign w:val="bottom"/>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540" w:type="dxa"/>
            <w:vAlign w:val="bottom"/>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Proceeds from sales and calls of debt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100" w:type="dxa"/>
            <w:vAlign w:val="bottom"/>
          </w:tcPr>
          <w:p>
            <w:pPr>
              <w:spacing w:after="0"/>
              <w:rPr>
                <w:sz w:val="21"/>
                <w:szCs w:val="21"/>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120,680</w:t>
            </w:r>
          </w:p>
        </w:tc>
      </w:tr>
      <w:tr>
        <w:trPr>
          <w:trHeight w:val="243"/>
        </w:trPr>
        <w:tc>
          <w:tcPr>
            <w:tcW w:w="20" w:type="dxa"/>
            <w:vAlign w:val="bottom"/>
            <w:shd w:val="clear" w:color="auto" w:fill="CCEEFF"/>
          </w:tcPr>
          <w:p>
            <w:pPr>
              <w:spacing w:after="0"/>
              <w:rPr>
                <w:sz w:val="21"/>
                <w:szCs w:val="21"/>
                <w:color w:val="auto"/>
              </w:rPr>
            </w:pPr>
          </w:p>
        </w:tc>
        <w:tc>
          <w:tcPr>
            <w:tcW w:w="4560" w:type="dxa"/>
            <w:vAlign w:val="bottom"/>
            <w:gridSpan w:val="2"/>
            <w:shd w:val="clear" w:color="auto" w:fill="CCEEFF"/>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Gross realized gains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456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Gross realized losses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Proceeds from calls of debt securities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14,355</w:t>
            </w:r>
          </w:p>
        </w:tc>
      </w:tr>
      <w:tr>
        <w:trPr>
          <w:trHeight w:val="243"/>
        </w:trPr>
        <w:tc>
          <w:tcPr>
            <w:tcW w:w="20" w:type="dxa"/>
            <w:vAlign w:val="bottom"/>
            <w:shd w:val="clear" w:color="auto" w:fill="CCEEFF"/>
          </w:tcPr>
          <w:p>
            <w:pPr>
              <w:spacing w:after="0"/>
              <w:rPr>
                <w:sz w:val="21"/>
                <w:szCs w:val="21"/>
                <w:color w:val="auto"/>
              </w:rPr>
            </w:pPr>
          </w:p>
        </w:tc>
        <w:tc>
          <w:tcPr>
            <w:tcW w:w="4560" w:type="dxa"/>
            <w:vAlign w:val="bottom"/>
            <w:gridSpan w:val="2"/>
            <w:shd w:val="clear" w:color="auto" w:fill="CCEEFF"/>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Gross realized gains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2"/>
        </w:trPr>
        <w:tc>
          <w:tcPr>
            <w:tcW w:w="20" w:type="dxa"/>
            <w:vAlign w:val="bottom"/>
          </w:tcPr>
          <w:p>
            <w:pPr>
              <w:spacing w:after="0"/>
              <w:rPr>
                <w:sz w:val="24"/>
                <w:szCs w:val="24"/>
                <w:color w:val="auto"/>
              </w:rPr>
            </w:pPr>
          </w:p>
        </w:tc>
        <w:tc>
          <w:tcPr>
            <w:tcW w:w="4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Gross realized losses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4"/>
                <w:szCs w:val="24"/>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120" w:hanging="112"/>
        <w:spacing w:after="0" w:line="209" w:lineRule="auto"/>
        <w:tabs>
          <w:tab w:leader="none" w:pos="1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gain or loss on the sale or call of each debt security is determined by the specific identification method.</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49"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 - Available-for-Sale Debt Securities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tables summarize AFS debt securities that were in an unrealized loss position based on the length of time the individual securities have been in an unrealized loss position, and for which an ACL has not been recorded. The number of AFS debt securities in an unrealized loss position is also disclosed.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7"/>
          </w:tcPr>
          <w:p>
            <w:pPr>
              <w:jc w:val="center"/>
              <w:ind w:left="89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Number</w:t>
            </w: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Less than 12 Months</w:t>
            </w:r>
          </w:p>
        </w:tc>
        <w:tc>
          <w:tcPr>
            <w:tcW w:w="100" w:type="dxa"/>
            <w:vAlign w:val="bottom"/>
          </w:tcPr>
          <w:p>
            <w:pPr>
              <w:spacing w:after="0"/>
              <w:rPr>
                <w:sz w:val="21"/>
                <w:szCs w:val="21"/>
                <w:color w:val="auto"/>
              </w:rPr>
            </w:pPr>
          </w:p>
        </w:tc>
        <w:tc>
          <w:tcPr>
            <w:tcW w:w="230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12 Months or More</w:t>
            </w:r>
          </w:p>
        </w:tc>
        <w:tc>
          <w:tcPr>
            <w:tcW w:w="120" w:type="dxa"/>
            <w:vAlign w:val="bottom"/>
          </w:tcPr>
          <w:p>
            <w:pPr>
              <w:spacing w:after="0"/>
              <w:rPr>
                <w:sz w:val="21"/>
                <w:szCs w:val="21"/>
                <w:color w:val="auto"/>
              </w:rPr>
            </w:pPr>
          </w:p>
        </w:tc>
        <w:tc>
          <w:tcPr>
            <w:tcW w:w="134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color w:val="auto"/>
                <w:w w:val="94"/>
              </w:rPr>
              <w:t>Total</w:t>
            </w:r>
          </w:p>
        </w:tc>
        <w:tc>
          <w:tcPr>
            <w:tcW w:w="960" w:type="dxa"/>
            <w:vAlign w:val="bottom"/>
            <w:tcBorders>
              <w:bottom w:val="single" w:sz="8" w:color="auto"/>
            </w:tcBorders>
          </w:tcPr>
          <w:p>
            <w:pPr>
              <w:spacing w:after="0"/>
              <w:rPr>
                <w:sz w:val="21"/>
                <w:szCs w:val="21"/>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3"/>
          </w:tcPr>
          <w:p>
            <w:pPr>
              <w:jc w:val="center"/>
              <w:ind w:right="140"/>
              <w:spacing w:after="0" w:line="182" w:lineRule="exact"/>
              <w:rPr>
                <w:sz w:val="20"/>
                <w:szCs w:val="20"/>
                <w:color w:val="auto"/>
              </w:rPr>
            </w:pPr>
            <w:r>
              <w:rPr>
                <w:rFonts w:ascii="Times New Roman" w:cs="Times New Roman" w:eastAsia="Times New Roman" w:hAnsi="Times New Roman"/>
                <w:sz w:val="18"/>
                <w:szCs w:val="18"/>
                <w:color w:val="auto"/>
              </w:rPr>
              <w:t>of</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center"/>
              <w:ind w:right="360"/>
              <w:spacing w:after="0" w:line="182" w:lineRule="exact"/>
              <w:rPr>
                <w:sz w:val="20"/>
                <w:szCs w:val="20"/>
                <w:color w:val="auto"/>
              </w:rPr>
            </w:pPr>
            <w:r>
              <w:rPr>
                <w:rFonts w:ascii="Times New Roman" w:cs="Times New Roman" w:eastAsia="Times New Roman" w:hAnsi="Times New Roman"/>
                <w:sz w:val="18"/>
                <w:szCs w:val="18"/>
                <w:color w:val="auto"/>
                <w:w w:val="96"/>
              </w:rPr>
              <w:t>Fair</w:t>
            </w:r>
          </w:p>
        </w:tc>
        <w:tc>
          <w:tcPr>
            <w:tcW w:w="1200" w:type="dxa"/>
            <w:vAlign w:val="bottom"/>
            <w:gridSpan w:val="3"/>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w w:val="98"/>
              </w:rPr>
              <w:t>Unrealized</w:t>
            </w:r>
          </w:p>
        </w:tc>
        <w:tc>
          <w:tcPr>
            <w:tcW w:w="1300" w:type="dxa"/>
            <w:vAlign w:val="bottom"/>
            <w:gridSpan w:val="4"/>
          </w:tcPr>
          <w:p>
            <w:pPr>
              <w:jc w:val="center"/>
              <w:ind w:right="180"/>
              <w:spacing w:after="0" w:line="182" w:lineRule="exact"/>
              <w:rPr>
                <w:sz w:val="20"/>
                <w:szCs w:val="20"/>
                <w:color w:val="auto"/>
              </w:rPr>
            </w:pPr>
            <w:r>
              <w:rPr>
                <w:rFonts w:ascii="Times New Roman" w:cs="Times New Roman" w:eastAsia="Times New Roman" w:hAnsi="Times New Roman"/>
                <w:sz w:val="18"/>
                <w:szCs w:val="18"/>
                <w:color w:val="auto"/>
                <w:w w:val="96"/>
              </w:rPr>
              <w:t>Fair</w:t>
            </w:r>
          </w:p>
        </w:tc>
        <w:tc>
          <w:tcPr>
            <w:tcW w:w="112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8"/>
                <w:szCs w:val="18"/>
                <w:color w:val="auto"/>
              </w:rPr>
              <w:t>Unrealized</w:t>
            </w:r>
          </w:p>
        </w:tc>
        <w:tc>
          <w:tcPr>
            <w:tcW w:w="1340" w:type="dxa"/>
            <w:vAlign w:val="bottom"/>
            <w:gridSpan w:val="3"/>
          </w:tcPr>
          <w:p>
            <w:pPr>
              <w:jc w:val="center"/>
              <w:ind w:right="260"/>
              <w:spacing w:after="0" w:line="182" w:lineRule="exact"/>
              <w:rPr>
                <w:sz w:val="20"/>
                <w:szCs w:val="20"/>
                <w:color w:val="auto"/>
              </w:rPr>
            </w:pPr>
            <w:r>
              <w:rPr>
                <w:rFonts w:ascii="Times New Roman" w:cs="Times New Roman" w:eastAsia="Times New Roman" w:hAnsi="Times New Roman"/>
                <w:sz w:val="18"/>
                <w:szCs w:val="18"/>
                <w:color w:val="auto"/>
                <w:w w:val="96"/>
              </w:rPr>
              <w:t>Fair</w:t>
            </w:r>
          </w:p>
        </w:tc>
        <w:tc>
          <w:tcPr>
            <w:tcW w:w="960" w:type="dxa"/>
            <w:vAlign w:val="bottom"/>
          </w:tcPr>
          <w:p>
            <w:pPr>
              <w:jc w:val="center"/>
              <w:ind w:right="50"/>
              <w:spacing w:after="0" w:line="182" w:lineRule="exact"/>
              <w:rPr>
                <w:sz w:val="20"/>
                <w:szCs w:val="20"/>
                <w:color w:val="auto"/>
              </w:rPr>
            </w:pPr>
            <w:r>
              <w:rPr>
                <w:rFonts w:ascii="Times New Roman" w:cs="Times New Roman" w:eastAsia="Times New Roman" w:hAnsi="Times New Roman"/>
                <w:sz w:val="18"/>
                <w:szCs w:val="18"/>
                <w:color w:val="auto"/>
                <w:w w:val="98"/>
              </w:rPr>
              <w:t>Unrealized</w:t>
            </w:r>
          </w:p>
        </w:tc>
      </w:tr>
      <w:tr>
        <w:trPr>
          <w:trHeight w:val="189"/>
        </w:trPr>
        <w:tc>
          <w:tcPr>
            <w:tcW w:w="20" w:type="dxa"/>
            <w:vAlign w:val="bottom"/>
          </w:tcPr>
          <w:p>
            <w:pPr>
              <w:spacing w:after="0"/>
              <w:rPr>
                <w:sz w:val="16"/>
                <w:szCs w:val="16"/>
                <w:color w:val="auto"/>
              </w:rPr>
            </w:pPr>
          </w:p>
        </w:tc>
        <w:tc>
          <w:tcPr>
            <w:tcW w:w="2860" w:type="dxa"/>
            <w:vAlign w:val="bottom"/>
            <w:gridSpan w:val="2"/>
          </w:tcPr>
          <w:p>
            <w:pPr>
              <w:jc w:val="center"/>
              <w:ind w:right="1580"/>
              <w:spacing w:after="0"/>
              <w:rPr>
                <w:sz w:val="20"/>
                <w:szCs w:val="20"/>
                <w:color w:val="auto"/>
              </w:rPr>
            </w:pPr>
            <w:r>
              <w:rPr>
                <w:rFonts w:ascii="Times New Roman" w:cs="Times New Roman" w:eastAsia="Times New Roman" w:hAnsi="Times New Roman"/>
                <w:sz w:val="14"/>
                <w:szCs w:val="14"/>
                <w:color w:val="auto"/>
              </w:rPr>
              <w:t>(Dollars in thousands)</w:t>
            </w:r>
          </w:p>
        </w:tc>
        <w:tc>
          <w:tcPr>
            <w:tcW w:w="40" w:type="dxa"/>
            <w:vAlign w:val="bottom"/>
          </w:tcPr>
          <w:p>
            <w:pPr>
              <w:spacing w:after="0"/>
              <w:rPr>
                <w:sz w:val="16"/>
                <w:szCs w:val="16"/>
                <w:color w:val="auto"/>
              </w:rPr>
            </w:pPr>
          </w:p>
        </w:tc>
        <w:tc>
          <w:tcPr>
            <w:tcW w:w="1140" w:type="dxa"/>
            <w:vAlign w:val="bottom"/>
            <w:gridSpan w:val="3"/>
          </w:tcPr>
          <w:p>
            <w:pPr>
              <w:jc w:val="center"/>
              <w:ind w:right="140"/>
              <w:spacing w:after="0" w:line="169" w:lineRule="exact"/>
              <w:rPr>
                <w:sz w:val="20"/>
                <w:szCs w:val="20"/>
                <w:color w:val="auto"/>
              </w:rPr>
            </w:pPr>
            <w:r>
              <w:rPr>
                <w:rFonts w:ascii="Times New Roman" w:cs="Times New Roman" w:eastAsia="Times New Roman" w:hAnsi="Times New Roman"/>
                <w:sz w:val="18"/>
                <w:szCs w:val="18"/>
                <w:color w:val="auto"/>
              </w:rPr>
              <w:t>Securities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center"/>
              <w:ind w:right="360"/>
              <w:spacing w:after="0" w:line="169" w:lineRule="exact"/>
              <w:rPr>
                <w:sz w:val="20"/>
                <w:szCs w:val="20"/>
                <w:color w:val="auto"/>
              </w:rPr>
            </w:pPr>
            <w:r>
              <w:rPr>
                <w:rFonts w:ascii="Times New Roman" w:cs="Times New Roman" w:eastAsia="Times New Roman" w:hAnsi="Times New Roman"/>
                <w:sz w:val="18"/>
                <w:szCs w:val="18"/>
                <w:color w:val="auto"/>
                <w:w w:val="92"/>
              </w:rPr>
              <w:t>Value</w:t>
            </w:r>
          </w:p>
        </w:tc>
        <w:tc>
          <w:tcPr>
            <w:tcW w:w="1200" w:type="dxa"/>
            <w:vAlign w:val="bottom"/>
            <w:gridSpan w:val="3"/>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9"/>
              </w:rPr>
              <w:t>Loss</w:t>
            </w:r>
          </w:p>
        </w:tc>
        <w:tc>
          <w:tcPr>
            <w:tcW w:w="1300" w:type="dxa"/>
            <w:vAlign w:val="bottom"/>
            <w:gridSpan w:val="4"/>
          </w:tcPr>
          <w:p>
            <w:pPr>
              <w:jc w:val="center"/>
              <w:ind w:right="180"/>
              <w:spacing w:after="0" w:line="169" w:lineRule="exact"/>
              <w:rPr>
                <w:sz w:val="20"/>
                <w:szCs w:val="20"/>
                <w:color w:val="auto"/>
              </w:rPr>
            </w:pPr>
            <w:r>
              <w:rPr>
                <w:rFonts w:ascii="Times New Roman" w:cs="Times New Roman" w:eastAsia="Times New Roman" w:hAnsi="Times New Roman"/>
                <w:sz w:val="18"/>
                <w:szCs w:val="18"/>
                <w:color w:val="auto"/>
                <w:w w:val="92"/>
              </w:rPr>
              <w:t>Value</w:t>
            </w:r>
          </w:p>
        </w:tc>
        <w:tc>
          <w:tcPr>
            <w:tcW w:w="112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Loss</w:t>
            </w:r>
          </w:p>
        </w:tc>
        <w:tc>
          <w:tcPr>
            <w:tcW w:w="1340" w:type="dxa"/>
            <w:vAlign w:val="bottom"/>
            <w:gridSpan w:val="3"/>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w w:val="92"/>
              </w:rPr>
              <w:t>Value</w:t>
            </w:r>
          </w:p>
        </w:tc>
        <w:tc>
          <w:tcPr>
            <w:tcW w:w="96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9"/>
              </w:rPr>
              <w:t>Loss</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jc w:val="center"/>
              <w:ind w:right="1560"/>
              <w:spacing w:after="0"/>
              <w:rPr>
                <w:sz w:val="20"/>
                <w:szCs w:val="20"/>
                <w:color w:val="auto"/>
              </w:rPr>
            </w:pPr>
            <w:r>
              <w:rPr>
                <w:rFonts w:ascii="Times New Roman" w:cs="Times New Roman" w:eastAsia="Times New Roman" w:hAnsi="Times New Roman"/>
                <w:sz w:val="18"/>
                <w:szCs w:val="18"/>
                <w:color w:val="auto"/>
                <w:w w:val="99"/>
              </w:rPr>
              <w:t>Available-for-sale</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2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government and federal agency</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189"/>
        </w:trPr>
        <w:tc>
          <w:tcPr>
            <w:tcW w:w="20" w:type="dxa"/>
            <w:vAlign w:val="bottom"/>
            <w:shd w:val="clear" w:color="auto" w:fill="CCEEFF"/>
          </w:tcPr>
          <w:p>
            <w:pPr>
              <w:spacing w:after="0"/>
              <w:rPr>
                <w:sz w:val="16"/>
                <w:szCs w:val="16"/>
                <w:color w:val="auto"/>
              </w:rPr>
            </w:pPr>
          </w:p>
        </w:tc>
        <w:tc>
          <w:tcPr>
            <w:tcW w:w="2860" w:type="dxa"/>
            <w:vAlign w:val="bottom"/>
            <w:gridSpan w:val="2"/>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U.S. government sponsored</w:t>
            </w: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43"/>
        </w:trPr>
        <w:tc>
          <w:tcPr>
            <w:tcW w:w="20" w:type="dxa"/>
            <w:vAlign w:val="bottom"/>
            <w:shd w:val="clear" w:color="auto" w:fill="CCEEFF"/>
          </w:tcPr>
          <w:p>
            <w:pPr>
              <w:spacing w:after="0"/>
              <w:rPr>
                <w:sz w:val="21"/>
                <w:szCs w:val="21"/>
                <w:color w:val="auto"/>
              </w:rPr>
            </w:pPr>
          </w:p>
        </w:tc>
        <w:tc>
          <w:tcPr>
            <w:tcW w:w="2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enterprises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115,298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43"/>
        </w:trPr>
        <w:tc>
          <w:tcPr>
            <w:tcW w:w="20" w:type="dxa"/>
            <w:vAlign w:val="bottom"/>
          </w:tcPr>
          <w:p>
            <w:pPr>
              <w:spacing w:after="0"/>
              <w:rPr>
                <w:sz w:val="21"/>
                <w:szCs w:val="21"/>
                <w:color w:val="auto"/>
              </w:rPr>
            </w:pPr>
          </w:p>
        </w:tc>
        <w:tc>
          <w:tcPr>
            <w:tcW w:w="2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w:t>
            </w:r>
          </w:p>
        </w:tc>
      </w:tr>
      <w:tr>
        <w:trPr>
          <w:trHeight w:val="243"/>
        </w:trPr>
        <w:tc>
          <w:tcPr>
            <w:tcW w:w="20" w:type="dxa"/>
            <w:vAlign w:val="bottom"/>
            <w:shd w:val="clear" w:color="auto" w:fill="CCEEFF"/>
          </w:tcPr>
          <w:p>
            <w:pPr>
              <w:spacing w:after="0"/>
              <w:rPr>
                <w:sz w:val="21"/>
                <w:szCs w:val="21"/>
                <w:color w:val="auto"/>
              </w:rPr>
            </w:pPr>
          </w:p>
        </w:tc>
        <w:tc>
          <w:tcPr>
            <w:tcW w:w="2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189"/>
        </w:trPr>
        <w:tc>
          <w:tcPr>
            <w:tcW w:w="20" w:type="dxa"/>
            <w:vAlign w:val="bottom"/>
          </w:tcPr>
          <w:p>
            <w:pPr>
              <w:spacing w:after="0"/>
              <w:rPr>
                <w:sz w:val="16"/>
                <w:szCs w:val="16"/>
                <w:color w:val="auto"/>
              </w:rPr>
            </w:pPr>
          </w:p>
        </w:tc>
        <w:tc>
          <w:tcPr>
            <w:tcW w:w="286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8"/>
                <w:szCs w:val="18"/>
                <w:color w:val="auto"/>
              </w:rPr>
              <w:t>Residential mortgage-backed</w:t>
            </w: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28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color w:val="auto"/>
                <w:w w:val="99"/>
              </w:rPr>
              <w:t>securities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1,614,563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(207,002)</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1,807,642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(217,075)</w:t>
            </w:r>
          </w:p>
        </w:tc>
      </w:tr>
      <w:tr>
        <w:trPr>
          <w:trHeight w:val="189"/>
        </w:trPr>
        <w:tc>
          <w:tcPr>
            <w:tcW w:w="20" w:type="dxa"/>
            <w:vAlign w:val="bottom"/>
            <w:shd w:val="clear" w:color="auto" w:fill="CCEEFF"/>
          </w:tcPr>
          <w:p>
            <w:pPr>
              <w:spacing w:after="0"/>
              <w:rPr>
                <w:sz w:val="16"/>
                <w:szCs w:val="16"/>
                <w:color w:val="auto"/>
              </w:rPr>
            </w:pPr>
          </w:p>
        </w:tc>
        <w:tc>
          <w:tcPr>
            <w:tcW w:w="2860" w:type="dxa"/>
            <w:vAlign w:val="bottom"/>
            <w:gridSpan w:val="2"/>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Commercial mortgage-backed</w:t>
            </w: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43"/>
        </w:trPr>
        <w:tc>
          <w:tcPr>
            <w:tcW w:w="20" w:type="dxa"/>
            <w:vAlign w:val="bottom"/>
            <w:shd w:val="clear" w:color="auto" w:fill="CCEEFF"/>
          </w:tcPr>
          <w:p>
            <w:pPr>
              <w:spacing w:after="0"/>
              <w:rPr>
                <w:sz w:val="21"/>
                <w:szCs w:val="21"/>
                <w:color w:val="auto"/>
              </w:rPr>
            </w:pPr>
          </w:p>
        </w:tc>
        <w:tc>
          <w:tcPr>
            <w:tcW w:w="2860" w:type="dxa"/>
            <w:vAlign w:val="bottom"/>
            <w:gridSpan w:val="2"/>
            <w:shd w:val="clear" w:color="auto" w:fill="CCEEFF"/>
          </w:tcPr>
          <w:p>
            <w:pPr>
              <w:jc w:val="center"/>
              <w:ind w:right="1620"/>
              <w:spacing w:after="0"/>
              <w:rPr>
                <w:sz w:val="20"/>
                <w:szCs w:val="20"/>
                <w:color w:val="auto"/>
              </w:rPr>
            </w:pPr>
            <w:r>
              <w:rPr>
                <w:rFonts w:ascii="Times New Roman" w:cs="Times New Roman" w:eastAsia="Times New Roman" w:hAnsi="Times New Roman"/>
                <w:sz w:val="18"/>
                <w:szCs w:val="18"/>
                <w:color w:val="auto"/>
                <w:w w:val="99"/>
              </w:rPr>
              <w:t>securities</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668,894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691,022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(35,121)</w:t>
            </w:r>
          </w:p>
        </w:tc>
        <w:tc>
          <w:tcPr>
            <w:tcW w:w="12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1,359,916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(50,845)</w:t>
            </w:r>
          </w:p>
        </w:tc>
      </w:tr>
      <w:tr>
        <w:trPr>
          <w:trHeight w:val="237"/>
        </w:trPr>
        <w:tc>
          <w:tcPr>
            <w:tcW w:w="20" w:type="dxa"/>
            <w:vAlign w:val="bottom"/>
          </w:tcPr>
          <w:p>
            <w:pPr>
              <w:spacing w:after="0"/>
              <w:rPr>
                <w:sz w:val="20"/>
                <w:szCs w:val="20"/>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available-for-sale</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993,105</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(29,322)</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2,468,353</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(246,883)</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3,461,458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(276,205)</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74"/>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center"/>
              <w:ind w:left="910"/>
              <w:spacing w:after="0"/>
              <w:rPr>
                <w:sz w:val="20"/>
                <w:szCs w:val="20"/>
                <w:color w:val="auto"/>
              </w:rPr>
            </w:pPr>
            <w:r>
              <w:rPr>
                <w:rFonts w:ascii="Times New Roman" w:cs="Times New Roman" w:eastAsia="Times New Roman" w:hAnsi="Times New Roman"/>
                <w:sz w:val="18"/>
                <w:szCs w:val="18"/>
                <w:color w:val="auto"/>
              </w:rPr>
              <w:t>December 31, 2025</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Number</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Less than 12 Months</w:t>
            </w:r>
          </w:p>
        </w:tc>
        <w:tc>
          <w:tcPr>
            <w:tcW w:w="120" w:type="dxa"/>
            <w:vAlign w:val="bottom"/>
            <w:gridSpan w:val="2"/>
          </w:tcPr>
          <w:p>
            <w:pPr>
              <w:spacing w:after="0"/>
              <w:rPr>
                <w:sz w:val="21"/>
                <w:szCs w:val="21"/>
                <w:color w:val="auto"/>
              </w:rPr>
            </w:pPr>
          </w:p>
        </w:tc>
        <w:tc>
          <w:tcPr>
            <w:tcW w:w="230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12 Months or More</w:t>
            </w:r>
          </w:p>
        </w:tc>
        <w:tc>
          <w:tcPr>
            <w:tcW w:w="120" w:type="dxa"/>
            <w:vAlign w:val="bottom"/>
          </w:tcPr>
          <w:p>
            <w:pPr>
              <w:spacing w:after="0"/>
              <w:rPr>
                <w:sz w:val="21"/>
                <w:szCs w:val="21"/>
                <w:color w:val="auto"/>
              </w:rPr>
            </w:pPr>
          </w:p>
        </w:tc>
        <w:tc>
          <w:tcPr>
            <w:tcW w:w="134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color w:val="auto"/>
                <w:w w:val="94"/>
              </w:rPr>
              <w:t>Total</w:t>
            </w:r>
          </w:p>
        </w:tc>
        <w:tc>
          <w:tcPr>
            <w:tcW w:w="960" w:type="dxa"/>
            <w:vAlign w:val="bottom"/>
            <w:tcBorders>
              <w:bottom w:val="single" w:sz="8" w:color="auto"/>
            </w:tcBorders>
          </w:tcPr>
          <w:p>
            <w:pPr>
              <w:spacing w:after="0"/>
              <w:rPr>
                <w:sz w:val="21"/>
                <w:szCs w:val="21"/>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3"/>
          </w:tcPr>
          <w:p>
            <w:pPr>
              <w:jc w:val="center"/>
              <w:ind w:right="60"/>
              <w:spacing w:after="0" w:line="182" w:lineRule="exact"/>
              <w:rPr>
                <w:sz w:val="20"/>
                <w:szCs w:val="20"/>
                <w:color w:val="auto"/>
              </w:rPr>
            </w:pPr>
            <w:r>
              <w:rPr>
                <w:rFonts w:ascii="Times New Roman" w:cs="Times New Roman" w:eastAsia="Times New Roman" w:hAnsi="Times New Roman"/>
                <w:sz w:val="18"/>
                <w:szCs w:val="18"/>
                <w:color w:val="auto"/>
              </w:rPr>
              <w:t>of</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center"/>
              <w:ind w:right="320"/>
              <w:spacing w:after="0" w:line="182" w:lineRule="exact"/>
              <w:rPr>
                <w:sz w:val="20"/>
                <w:szCs w:val="20"/>
                <w:color w:val="auto"/>
              </w:rPr>
            </w:pPr>
            <w:r>
              <w:rPr>
                <w:rFonts w:ascii="Times New Roman" w:cs="Times New Roman" w:eastAsia="Times New Roman" w:hAnsi="Times New Roman"/>
                <w:sz w:val="18"/>
                <w:szCs w:val="18"/>
                <w:color w:val="auto"/>
                <w:w w:val="96"/>
              </w:rPr>
              <w:t>Fair</w:t>
            </w:r>
          </w:p>
        </w:tc>
        <w:tc>
          <w:tcPr>
            <w:tcW w:w="1200" w:type="dxa"/>
            <w:vAlign w:val="bottom"/>
            <w:gridSpan w:val="3"/>
          </w:tcPr>
          <w:p>
            <w:pPr>
              <w:jc w:val="center"/>
              <w:ind w:right="120"/>
              <w:spacing w:after="0" w:line="182" w:lineRule="exact"/>
              <w:rPr>
                <w:sz w:val="20"/>
                <w:szCs w:val="20"/>
                <w:color w:val="auto"/>
              </w:rPr>
            </w:pPr>
            <w:r>
              <w:rPr>
                <w:rFonts w:ascii="Times New Roman" w:cs="Times New Roman" w:eastAsia="Times New Roman" w:hAnsi="Times New Roman"/>
                <w:sz w:val="18"/>
                <w:szCs w:val="18"/>
                <w:color w:val="auto"/>
              </w:rPr>
              <w:t>Unrealized</w:t>
            </w:r>
          </w:p>
        </w:tc>
        <w:tc>
          <w:tcPr>
            <w:tcW w:w="1300" w:type="dxa"/>
            <w:vAlign w:val="bottom"/>
            <w:gridSpan w:val="4"/>
          </w:tcPr>
          <w:p>
            <w:pPr>
              <w:jc w:val="center"/>
              <w:ind w:right="220"/>
              <w:spacing w:after="0" w:line="182" w:lineRule="exact"/>
              <w:rPr>
                <w:sz w:val="20"/>
                <w:szCs w:val="20"/>
                <w:color w:val="auto"/>
              </w:rPr>
            </w:pPr>
            <w:r>
              <w:rPr>
                <w:rFonts w:ascii="Times New Roman" w:cs="Times New Roman" w:eastAsia="Times New Roman" w:hAnsi="Times New Roman"/>
                <w:sz w:val="18"/>
                <w:szCs w:val="18"/>
                <w:color w:val="auto"/>
                <w:w w:val="96"/>
              </w:rPr>
              <w:t>Fair</w:t>
            </w:r>
          </w:p>
        </w:tc>
        <w:tc>
          <w:tcPr>
            <w:tcW w:w="112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color w:val="auto"/>
                <w:w w:val="98"/>
              </w:rPr>
              <w:t>Unrealized</w:t>
            </w:r>
          </w:p>
        </w:tc>
        <w:tc>
          <w:tcPr>
            <w:tcW w:w="1340" w:type="dxa"/>
            <w:vAlign w:val="bottom"/>
            <w:gridSpan w:val="3"/>
          </w:tcPr>
          <w:p>
            <w:pPr>
              <w:jc w:val="center"/>
              <w:ind w:right="260"/>
              <w:spacing w:after="0" w:line="182" w:lineRule="exact"/>
              <w:rPr>
                <w:sz w:val="20"/>
                <w:szCs w:val="20"/>
                <w:color w:val="auto"/>
              </w:rPr>
            </w:pPr>
            <w:r>
              <w:rPr>
                <w:rFonts w:ascii="Times New Roman" w:cs="Times New Roman" w:eastAsia="Times New Roman" w:hAnsi="Times New Roman"/>
                <w:sz w:val="18"/>
                <w:szCs w:val="18"/>
                <w:color w:val="auto"/>
                <w:w w:val="96"/>
              </w:rPr>
              <w:t>Fair</w:t>
            </w:r>
          </w:p>
        </w:tc>
        <w:tc>
          <w:tcPr>
            <w:tcW w:w="960" w:type="dxa"/>
            <w:vAlign w:val="bottom"/>
          </w:tcPr>
          <w:p>
            <w:pPr>
              <w:jc w:val="center"/>
              <w:ind w:right="50"/>
              <w:spacing w:after="0" w:line="182" w:lineRule="exact"/>
              <w:rPr>
                <w:sz w:val="20"/>
                <w:szCs w:val="20"/>
                <w:color w:val="auto"/>
              </w:rPr>
            </w:pPr>
            <w:r>
              <w:rPr>
                <w:rFonts w:ascii="Times New Roman" w:cs="Times New Roman" w:eastAsia="Times New Roman" w:hAnsi="Times New Roman"/>
                <w:sz w:val="18"/>
                <w:szCs w:val="18"/>
                <w:color w:val="auto"/>
                <w:w w:val="98"/>
              </w:rPr>
              <w:t>Unrealized</w:t>
            </w:r>
          </w:p>
        </w:tc>
      </w:tr>
      <w:tr>
        <w:trPr>
          <w:trHeight w:val="189"/>
        </w:trPr>
        <w:tc>
          <w:tcPr>
            <w:tcW w:w="20" w:type="dxa"/>
            <w:vAlign w:val="bottom"/>
          </w:tcPr>
          <w:p>
            <w:pPr>
              <w:spacing w:after="0"/>
              <w:rPr>
                <w:sz w:val="16"/>
                <w:szCs w:val="16"/>
                <w:color w:val="auto"/>
              </w:rPr>
            </w:pPr>
          </w:p>
        </w:tc>
        <w:tc>
          <w:tcPr>
            <w:tcW w:w="2860" w:type="dxa"/>
            <w:vAlign w:val="bottom"/>
            <w:gridSpan w:val="2"/>
          </w:tcPr>
          <w:p>
            <w:pPr>
              <w:jc w:val="center"/>
              <w:ind w:right="1580"/>
              <w:spacing w:after="0"/>
              <w:rPr>
                <w:sz w:val="20"/>
                <w:szCs w:val="20"/>
                <w:color w:val="auto"/>
              </w:rPr>
            </w:pPr>
            <w:r>
              <w:rPr>
                <w:rFonts w:ascii="Times New Roman" w:cs="Times New Roman" w:eastAsia="Times New Roman" w:hAnsi="Times New Roman"/>
                <w:sz w:val="14"/>
                <w:szCs w:val="14"/>
                <w:color w:val="auto"/>
              </w:rPr>
              <w:t>(Dollars in thousands)</w:t>
            </w:r>
          </w:p>
        </w:tc>
        <w:tc>
          <w:tcPr>
            <w:tcW w:w="40" w:type="dxa"/>
            <w:vAlign w:val="bottom"/>
          </w:tcPr>
          <w:p>
            <w:pPr>
              <w:spacing w:after="0"/>
              <w:rPr>
                <w:sz w:val="16"/>
                <w:szCs w:val="16"/>
                <w:color w:val="auto"/>
              </w:rPr>
            </w:pPr>
          </w:p>
        </w:tc>
        <w:tc>
          <w:tcPr>
            <w:tcW w:w="1140" w:type="dxa"/>
            <w:vAlign w:val="bottom"/>
            <w:gridSpan w:val="3"/>
          </w:tcPr>
          <w:p>
            <w:pPr>
              <w:jc w:val="center"/>
              <w:ind w:right="60"/>
              <w:spacing w:after="0" w:line="189" w:lineRule="exact"/>
              <w:rPr>
                <w:sz w:val="20"/>
                <w:szCs w:val="20"/>
                <w:color w:val="auto"/>
              </w:rPr>
            </w:pPr>
            <w:r>
              <w:rPr>
                <w:rFonts w:ascii="Times New Roman" w:cs="Times New Roman" w:eastAsia="Times New Roman" w:hAnsi="Times New Roman"/>
                <w:sz w:val="18"/>
                <w:szCs w:val="18"/>
                <w:color w:val="auto"/>
              </w:rPr>
              <w:t>Securities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center"/>
              <w:ind w:right="320"/>
              <w:spacing w:after="0" w:line="189" w:lineRule="exact"/>
              <w:rPr>
                <w:sz w:val="20"/>
                <w:szCs w:val="20"/>
                <w:color w:val="auto"/>
              </w:rPr>
            </w:pPr>
            <w:r>
              <w:rPr>
                <w:rFonts w:ascii="Times New Roman" w:cs="Times New Roman" w:eastAsia="Times New Roman" w:hAnsi="Times New Roman"/>
                <w:sz w:val="18"/>
                <w:szCs w:val="18"/>
                <w:color w:val="auto"/>
                <w:w w:val="92"/>
              </w:rPr>
              <w:t>Value</w:t>
            </w:r>
          </w:p>
        </w:tc>
        <w:tc>
          <w:tcPr>
            <w:tcW w:w="120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Loss</w:t>
            </w:r>
          </w:p>
        </w:tc>
        <w:tc>
          <w:tcPr>
            <w:tcW w:w="1300" w:type="dxa"/>
            <w:vAlign w:val="bottom"/>
            <w:gridSpan w:val="4"/>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2"/>
              </w:rPr>
              <w:t>Value</w:t>
            </w:r>
          </w:p>
        </w:tc>
        <w:tc>
          <w:tcPr>
            <w:tcW w:w="112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9"/>
              </w:rPr>
              <w:t>Loss</w:t>
            </w:r>
          </w:p>
        </w:tc>
        <w:tc>
          <w:tcPr>
            <w:tcW w:w="1340" w:type="dxa"/>
            <w:vAlign w:val="bottom"/>
            <w:gridSpan w:val="3"/>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2"/>
              </w:rPr>
              <w:t>Value</w:t>
            </w:r>
          </w:p>
        </w:tc>
        <w:tc>
          <w:tcPr>
            <w:tcW w:w="96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9"/>
              </w:rPr>
              <w:t>Loss</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jc w:val="center"/>
              <w:ind w:right="1560"/>
              <w:spacing w:after="0"/>
              <w:rPr>
                <w:sz w:val="20"/>
                <w:szCs w:val="20"/>
                <w:color w:val="auto"/>
              </w:rPr>
            </w:pPr>
            <w:r>
              <w:rPr>
                <w:rFonts w:ascii="Times New Roman" w:cs="Times New Roman" w:eastAsia="Times New Roman" w:hAnsi="Times New Roman"/>
                <w:sz w:val="18"/>
                <w:szCs w:val="18"/>
                <w:color w:val="auto"/>
                <w:w w:val="99"/>
              </w:rPr>
              <w:t>Available-for-sale</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2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government and federal agency</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189"/>
        </w:trPr>
        <w:tc>
          <w:tcPr>
            <w:tcW w:w="20" w:type="dxa"/>
            <w:vAlign w:val="bottom"/>
            <w:shd w:val="clear" w:color="auto" w:fill="CCEEFF"/>
          </w:tcPr>
          <w:p>
            <w:pPr>
              <w:spacing w:after="0"/>
              <w:rPr>
                <w:sz w:val="16"/>
                <w:szCs w:val="16"/>
                <w:color w:val="auto"/>
              </w:rPr>
            </w:pPr>
          </w:p>
        </w:tc>
        <w:tc>
          <w:tcPr>
            <w:tcW w:w="2860" w:type="dxa"/>
            <w:vAlign w:val="bottom"/>
            <w:gridSpan w:val="2"/>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U.S. government sponsored</w:t>
            </w: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43"/>
        </w:trPr>
        <w:tc>
          <w:tcPr>
            <w:tcW w:w="20" w:type="dxa"/>
            <w:vAlign w:val="bottom"/>
            <w:shd w:val="clear" w:color="auto" w:fill="CCEEFF"/>
          </w:tcPr>
          <w:p>
            <w:pPr>
              <w:spacing w:after="0"/>
              <w:rPr>
                <w:sz w:val="21"/>
                <w:szCs w:val="21"/>
                <w:color w:val="auto"/>
              </w:rPr>
            </w:pPr>
          </w:p>
        </w:tc>
        <w:tc>
          <w:tcPr>
            <w:tcW w:w="2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enterprises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302,962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302,962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r>
      <w:tr>
        <w:trPr>
          <w:trHeight w:val="243"/>
        </w:trPr>
        <w:tc>
          <w:tcPr>
            <w:tcW w:w="20" w:type="dxa"/>
            <w:vAlign w:val="bottom"/>
          </w:tcPr>
          <w:p>
            <w:pPr>
              <w:spacing w:after="0"/>
              <w:rPr>
                <w:sz w:val="21"/>
                <w:szCs w:val="21"/>
                <w:color w:val="auto"/>
              </w:rPr>
            </w:pPr>
          </w:p>
        </w:tc>
        <w:tc>
          <w:tcPr>
            <w:tcW w:w="2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r>
      <w:tr>
        <w:trPr>
          <w:trHeight w:val="243"/>
        </w:trPr>
        <w:tc>
          <w:tcPr>
            <w:tcW w:w="20" w:type="dxa"/>
            <w:vAlign w:val="bottom"/>
            <w:shd w:val="clear" w:color="auto" w:fill="CCEEFF"/>
          </w:tcPr>
          <w:p>
            <w:pPr>
              <w:spacing w:after="0"/>
              <w:rPr>
                <w:sz w:val="21"/>
                <w:szCs w:val="21"/>
                <w:color w:val="auto"/>
              </w:rPr>
            </w:pPr>
          </w:p>
        </w:tc>
        <w:tc>
          <w:tcPr>
            <w:tcW w:w="2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189"/>
        </w:trPr>
        <w:tc>
          <w:tcPr>
            <w:tcW w:w="20" w:type="dxa"/>
            <w:vAlign w:val="bottom"/>
          </w:tcPr>
          <w:p>
            <w:pPr>
              <w:spacing w:after="0"/>
              <w:rPr>
                <w:sz w:val="16"/>
                <w:szCs w:val="16"/>
                <w:color w:val="auto"/>
              </w:rPr>
            </w:pPr>
          </w:p>
        </w:tc>
        <w:tc>
          <w:tcPr>
            <w:tcW w:w="286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8"/>
                <w:szCs w:val="18"/>
                <w:color w:val="auto"/>
              </w:rPr>
              <w:t>Residential mortgage-backed</w:t>
            </w: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28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color w:val="auto"/>
                <w:w w:val="99"/>
              </w:rPr>
              <w:t>securities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1,983,182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(177,954)</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2,012,025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(177,996)</w:t>
            </w:r>
          </w:p>
        </w:tc>
      </w:tr>
      <w:tr>
        <w:trPr>
          <w:trHeight w:val="189"/>
        </w:trPr>
        <w:tc>
          <w:tcPr>
            <w:tcW w:w="20" w:type="dxa"/>
            <w:vAlign w:val="bottom"/>
            <w:shd w:val="clear" w:color="auto" w:fill="CCEEFF"/>
          </w:tcPr>
          <w:p>
            <w:pPr>
              <w:spacing w:after="0"/>
              <w:rPr>
                <w:sz w:val="16"/>
                <w:szCs w:val="16"/>
                <w:color w:val="auto"/>
              </w:rPr>
            </w:pPr>
          </w:p>
        </w:tc>
        <w:tc>
          <w:tcPr>
            <w:tcW w:w="2860" w:type="dxa"/>
            <w:vAlign w:val="bottom"/>
            <w:gridSpan w:val="2"/>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Commercial mortgage-backed</w:t>
            </w: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43"/>
        </w:trPr>
        <w:tc>
          <w:tcPr>
            <w:tcW w:w="20" w:type="dxa"/>
            <w:vAlign w:val="bottom"/>
            <w:shd w:val="clear" w:color="auto" w:fill="CCEEFF"/>
          </w:tcPr>
          <w:p>
            <w:pPr>
              <w:spacing w:after="0"/>
              <w:rPr>
                <w:sz w:val="21"/>
                <w:szCs w:val="21"/>
                <w:color w:val="auto"/>
              </w:rPr>
            </w:pPr>
          </w:p>
        </w:tc>
        <w:tc>
          <w:tcPr>
            <w:tcW w:w="2860" w:type="dxa"/>
            <w:vAlign w:val="bottom"/>
            <w:gridSpan w:val="2"/>
            <w:shd w:val="clear" w:color="auto" w:fill="CCEEFF"/>
          </w:tcPr>
          <w:p>
            <w:pPr>
              <w:jc w:val="center"/>
              <w:ind w:right="1620"/>
              <w:spacing w:after="0"/>
              <w:rPr>
                <w:sz w:val="20"/>
                <w:szCs w:val="20"/>
                <w:color w:val="auto"/>
              </w:rPr>
            </w:pPr>
            <w:r>
              <w:rPr>
                <w:rFonts w:ascii="Times New Roman" w:cs="Times New Roman" w:eastAsia="Times New Roman" w:hAnsi="Times New Roman"/>
                <w:sz w:val="18"/>
                <w:szCs w:val="18"/>
                <w:color w:val="auto"/>
                <w:w w:val="99"/>
              </w:rPr>
              <w:t>securities</w:t>
            </w:r>
          </w:p>
        </w:tc>
        <w:tc>
          <w:tcPr>
            <w:tcW w:w="4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864,907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(44,196)</w:t>
            </w:r>
          </w:p>
        </w:tc>
        <w:tc>
          <w:tcPr>
            <w:tcW w:w="12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927,334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(44,411)</w:t>
            </w:r>
          </w:p>
        </w:tc>
      </w:tr>
      <w:tr>
        <w:trPr>
          <w:trHeight w:val="237"/>
        </w:trPr>
        <w:tc>
          <w:tcPr>
            <w:tcW w:w="20" w:type="dxa"/>
            <w:vAlign w:val="bottom"/>
          </w:tcPr>
          <w:p>
            <w:pPr>
              <w:spacing w:after="0"/>
              <w:rPr>
                <w:sz w:val="20"/>
                <w:szCs w:val="20"/>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available-for-sale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183,035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3,390,885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(229,519)</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3,573,920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(229,941)</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AFS debt securities with unrealized loss positions at September 30, 2026 were issued by Federal National Mortgage Association (“Fannie Mae”), Federal Home Loan Mortgage Corporation (“Freddie Mac”), Government National Mortgage Association (“Ginnie Mae”) and other agencies of the U.S. government or have credit ratings issued by one or more of the Nationally Recognized Statistical Rating Organizations (“NRSRO” entities, such as Standard and Poor’s (“S&amp;P”) and Moody’s) in the four highest credit rating categories. All of the Company’s AFS debt securities with unrealized loss positions at September 30, 2026 have been determined to be investment grade.</w:t>
      </w:r>
    </w:p>
    <w:p>
      <w:pPr>
        <w:spacing w:after="0" w:line="1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did not have any past due AFS debt securities as of September 30, 2026 and December 31, 2025, respectively. Accrued interest receivable on AFS debt securities totaled $9,552,000 and $9,619,000 at September 30, 2026, and December 31, 2025, respectively, and was excluded from the estimate of credit losses.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an analysis of its AFS debt securities with unrealized losses as of September 30, 2026, the Company determined the decline in value was unrelated to credit losses and was primarily the result of changes in interest rates and market spreads subsequent to acquisition. The fair value of the debt securities is expected to recover as payments are received and the debt securities approach maturity. In addition, as of September 30, 2026, management determined it did not intend to sell AFS debt securities with unrealized losses, and there was no expected requirement to sell such securities before recovery of their</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amortized cost. As a result, no ACL was recorded on AFS debt securities at September 30, 2026, and December 31, 2025, respectively. As part of this determination, the Company considered contractual obligations, regulatory constraints, liquidity, capital, asset/liability management and securities portfolio objectives and whether or not any of the Company’s investment securities were managed by third-party investment funds.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 - Held-To-Maturity Debt Securities</w:t>
      </w:r>
    </w:p>
    <w:p>
      <w:pPr>
        <w:spacing w:after="0" w:line="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measured expected credit losses on HTM debt securities on a collective basis by major security type and NRSRO credit ratings, which is the Company’s primary credit quality indicator for state and local government securities. The estimate of expected credit losses considered historical credit loss information that was adjusted for current conditions as well as reasonable and supportable forecasts. The following table summarizes the amortized cost of HTM state and local government securities aggregated by NRSRO credit rating: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w:t>
            </w: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r>
      <w:tr>
        <w:trPr>
          <w:trHeight w:val="180"/>
        </w:trPr>
        <w:tc>
          <w:tcPr>
            <w:tcW w:w="20" w:type="dxa"/>
            <w:vAlign w:val="bottom"/>
          </w:tcPr>
          <w:p>
            <w:pPr>
              <w:spacing w:after="0"/>
              <w:rPr>
                <w:sz w:val="15"/>
                <w:szCs w:val="15"/>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5"/>
                <w:szCs w:val="15"/>
                <w:color w:val="auto"/>
              </w:rPr>
            </w:pPr>
          </w:p>
        </w:tc>
        <w:tc>
          <w:tcPr>
            <w:tcW w:w="1440" w:type="dxa"/>
            <w:vAlign w:val="bottom"/>
          </w:tcPr>
          <w:p>
            <w:pPr>
              <w:jc w:val="right"/>
              <w:ind w:right="550"/>
              <w:spacing w:after="0" w:line="160"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5"/>
                <w:szCs w:val="15"/>
                <w:color w:val="auto"/>
              </w:rPr>
            </w:pPr>
          </w:p>
        </w:tc>
        <w:tc>
          <w:tcPr>
            <w:tcW w:w="1640" w:type="dxa"/>
            <w:vAlign w:val="bottom"/>
          </w:tcPr>
          <w:p>
            <w:pPr>
              <w:jc w:val="right"/>
              <w:ind w:right="550"/>
              <w:spacing w:after="0" w:line="160"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7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S&amp;P: AAA / Moody’s: Aaa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374,646</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397,328</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S&amp;P: AA+, AA, AA- / Moody’s: Aa1, Aa2, Aa3</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1,132,515</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1,155,450</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S&amp;P: A+, A, A- / Moody’s: A1, A2, A3</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28,477</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29,093</w:t>
            </w:r>
          </w:p>
        </w:tc>
      </w:tr>
      <w:tr>
        <w:trPr>
          <w:trHeight w:val="243"/>
        </w:trPr>
        <w:tc>
          <w:tcPr>
            <w:tcW w:w="20" w:type="dxa"/>
            <w:vAlign w:val="bottom"/>
          </w:tcPr>
          <w:p>
            <w:pPr>
              <w:spacing w:after="0"/>
              <w:rPr>
                <w:sz w:val="21"/>
                <w:szCs w:val="21"/>
                <w:color w:val="auto"/>
              </w:rPr>
            </w:pPr>
          </w:p>
        </w:tc>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S&amp;P: BBB+, BBB, BBB- / Moody’s: Baa1, Baa2, Baa3</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 rated by either entity</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17,676</w:t>
            </w:r>
          </w:p>
        </w:tc>
        <w:tc>
          <w:tcPr>
            <w:tcW w:w="12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w:t>
            </w:r>
          </w:p>
        </w:tc>
      </w:tr>
      <w:tr>
        <w:trPr>
          <w:trHeight w:val="237"/>
        </w:trPr>
        <w:tc>
          <w:tcPr>
            <w:tcW w:w="20" w:type="dxa"/>
            <w:vAlign w:val="bottom"/>
          </w:tcPr>
          <w:p>
            <w:pPr>
              <w:spacing w:after="0"/>
              <w:rPr>
                <w:sz w:val="20"/>
                <w:szCs w:val="20"/>
                <w:color w:val="auto"/>
              </w:rPr>
            </w:pPr>
          </w:p>
        </w:tc>
        <w:tc>
          <w:tcPr>
            <w:tcW w:w="7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1,553,434</w:t>
            </w:r>
          </w:p>
        </w:tc>
        <w:tc>
          <w:tcPr>
            <w:tcW w:w="12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1,587,673</w:t>
            </w: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state and local government securities in the HTM debt securities portfolio are primarily comprised of general obligation and revenue bonds with NRSRO ratings in the four highest credit rating categories. All of the Company’s state and local securities that are classified as HTM debt securities at September 30, 2026 have been determined to be investment grade.</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HTM debt securities included in the Company’s U.S. government and federal agency and residential mortgage-backed security categories are issued and guaranteed by the U.S. Treasury, Fannie Mae, Freddie Mac, Ginnie Mae and other agencies of the U.S. government and are considered to be zero-loss securities. This determination is in consideration of the explicit and implicit guarantees by the U.S. Government, the U.S. Government’s ability to print its own currency, a history of no credit losses by the U.S. Government and noted agencies and the current economic and financial condition of the United States and U.S. Government providing no indication the zero-loss determination is unjustified</w:t>
      </w:r>
      <w:r>
        <w:rPr>
          <w:rFonts w:ascii="Arial" w:cs="Arial" w:eastAsia="Arial" w:hAnsi="Arial"/>
          <w:sz w:val="18"/>
          <w:szCs w:val="18"/>
          <w:color w:val="auto"/>
        </w:rPr>
        <w:t>.</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Company did not have any HTM debt securities past due. Accrued interest receivable on HTM debt securities totaled $18,245,000 and $16,175,000 at September 30, 2026 and December 31, 2025, respectively, and were excluded from the estimate of credit losses.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Company’s evaluation, an insignificant amount of credit losses is expected on the HTM debt securities portfolio; therefore, no ACL was recorded at September 30, 2026 or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3. Loans Receivable, Net</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59"/>
        </w:trPr>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loans receivable for each portfolio segment of loans: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w:t>
            </w: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r>
      <w:tr>
        <w:trPr>
          <w:trHeight w:val="189"/>
        </w:trPr>
        <w:tc>
          <w:tcPr>
            <w:tcW w:w="20" w:type="dxa"/>
            <w:vAlign w:val="bottom"/>
          </w:tcPr>
          <w:p>
            <w:pPr>
              <w:spacing w:after="0"/>
              <w:rPr>
                <w:sz w:val="16"/>
                <w:szCs w:val="16"/>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144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6"/>
                <w:szCs w:val="16"/>
                <w:color w:val="auto"/>
              </w:rPr>
            </w:pPr>
          </w:p>
        </w:tc>
        <w:tc>
          <w:tcPr>
            <w:tcW w:w="164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real estate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2,104,815</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2,457,907</w:t>
            </w:r>
          </w:p>
        </w:tc>
      </w:tr>
      <w:tr>
        <w:trPr>
          <w:trHeight w:val="243"/>
        </w:trPr>
        <w:tc>
          <w:tcPr>
            <w:tcW w:w="20" w:type="dxa"/>
            <w:vAlign w:val="bottom"/>
          </w:tcPr>
          <w:p>
            <w:pPr>
              <w:spacing w:after="0"/>
              <w:rPr>
                <w:sz w:val="21"/>
                <w:szCs w:val="21"/>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14,432,233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13,565,512</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3,613,414</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3,497,829</w:t>
            </w:r>
          </w:p>
        </w:tc>
      </w:tr>
      <w:tr>
        <w:trPr>
          <w:trHeight w:val="243"/>
        </w:trPr>
        <w:tc>
          <w:tcPr>
            <w:tcW w:w="20" w:type="dxa"/>
            <w:vAlign w:val="bottom"/>
          </w:tcPr>
          <w:p>
            <w:pPr>
              <w:spacing w:after="0"/>
              <w:rPr>
                <w:sz w:val="21"/>
                <w:szCs w:val="21"/>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 equity</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1,050,852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977,206</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consumer</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418,216</w:t>
            </w:r>
          </w:p>
        </w:tc>
        <w:tc>
          <w:tcPr>
            <w:tcW w:w="12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429,342</w:t>
            </w:r>
          </w:p>
        </w:tc>
      </w:tr>
      <w:tr>
        <w:trPr>
          <w:trHeight w:val="237"/>
        </w:trPr>
        <w:tc>
          <w:tcPr>
            <w:tcW w:w="20" w:type="dxa"/>
            <w:vAlign w:val="bottom"/>
          </w:tcPr>
          <w:p>
            <w:pPr>
              <w:spacing w:after="0"/>
              <w:rPr>
                <w:sz w:val="20"/>
                <w:szCs w:val="20"/>
                <w:color w:val="auto"/>
              </w:rPr>
            </w:pPr>
          </w:p>
        </w:tc>
        <w:tc>
          <w:tcPr>
            <w:tcW w:w="7820" w:type="dxa"/>
            <w:vAlign w:val="bottom"/>
            <w:gridSpan w:val="2"/>
          </w:tcPr>
          <w:p>
            <w:pPr>
              <w:ind w:left="460"/>
              <w:spacing w:after="0" w:line="236" w:lineRule="exact"/>
              <w:rPr>
                <w:sz w:val="20"/>
                <w:szCs w:val="20"/>
                <w:color w:val="auto"/>
              </w:rPr>
            </w:pPr>
            <w:r>
              <w:rPr>
                <w:rFonts w:ascii="Times New Roman" w:cs="Times New Roman" w:eastAsia="Times New Roman" w:hAnsi="Times New Roman"/>
                <w:sz w:val="18"/>
                <w:szCs w:val="18"/>
                <w:color w:val="auto"/>
              </w:rPr>
              <w:t xml:space="preserve">Loans receivable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21,619,530</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20,927,796</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(259,668)</w:t>
            </w:r>
          </w:p>
        </w:tc>
        <w:tc>
          <w:tcPr>
            <w:tcW w:w="12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(255,319)</w:t>
            </w:r>
          </w:p>
        </w:tc>
      </w:tr>
      <w:tr>
        <w:trPr>
          <w:trHeight w:val="236"/>
        </w:trPr>
        <w:tc>
          <w:tcPr>
            <w:tcW w:w="20" w:type="dxa"/>
            <w:vAlign w:val="bottom"/>
          </w:tcPr>
          <w:p>
            <w:pPr>
              <w:spacing w:after="0"/>
              <w:rPr>
                <w:sz w:val="20"/>
                <w:szCs w:val="20"/>
                <w:color w:val="auto"/>
              </w:rPr>
            </w:pPr>
          </w:p>
        </w:tc>
        <w:tc>
          <w:tcPr>
            <w:tcW w:w="7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Loans receivable,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21,359,862</w:t>
            </w:r>
          </w:p>
        </w:tc>
        <w:tc>
          <w:tcPr>
            <w:tcW w:w="12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20,672,477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6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origination fees included in loans receivable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(34,853)</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(32,715)</w:t>
            </w:r>
          </w:p>
        </w:tc>
      </w:tr>
      <w:tr>
        <w:trPr>
          <w:trHeight w:val="243"/>
        </w:trPr>
        <w:tc>
          <w:tcPr>
            <w:tcW w:w="20" w:type="dxa"/>
            <w:vAlign w:val="bottom"/>
          </w:tcPr>
          <w:p>
            <w:pPr>
              <w:spacing w:after="0"/>
              <w:rPr>
                <w:sz w:val="21"/>
                <w:szCs w:val="21"/>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purchase accounting discounts included in loans receivable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(61,236)</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(76,963)</w:t>
            </w: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 on loans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104,024</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94,251</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 w:lineRule="exact"/>
        <w:rPr>
          <w:sz w:val="20"/>
          <w:szCs w:val="20"/>
          <w:color w:val="auto"/>
        </w:rPr>
      </w:pPr>
    </w:p>
    <w:p>
      <w:pPr>
        <w:ind w:left="180" w:hanging="172"/>
        <w:spacing w:after="0" w:line="224" w:lineRule="auto"/>
        <w:tabs>
          <w:tab w:leader="none" w:pos="216"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connection with the first quarter of 2026 Guaranty core system conversion, Guaranty loans were reclassified to conform to the Company’s classifications. There were approximately $236 million of loans reclassified from residential loans into other categories, the majority of which were reclassified to commercial real estate loans.</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loans receivable are with borrowers in the Company’s geographic market areas. Although the Company has a diversified loan portfolio, a substantial portion of borrowers’ ability to service their obligations is dependent upon their economic performance in the Company’s markets.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no significant purchases or sales of portfolio loans or reclassification of loans held for investment to loans held for sale during the nine months ended September 30,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 - Loans Receivable</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ACL is a valuation account that is deducted from the amortized cost basis to present the net amount expected to be collected on loans. The following tables summarize the activity in the ACL:</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7"/>
          </w:tcPr>
          <w:p>
            <w:pPr>
              <w:ind w:left="1160"/>
              <w:spacing w:after="0"/>
              <w:rPr>
                <w:sz w:val="20"/>
                <w:szCs w:val="20"/>
                <w:color w:val="auto"/>
              </w:rPr>
            </w:pPr>
            <w:r>
              <w:rPr>
                <w:rFonts w:ascii="Times New Roman" w:cs="Times New Roman" w:eastAsia="Times New Roman" w:hAnsi="Times New Roman"/>
                <w:sz w:val="18"/>
                <w:szCs w:val="18"/>
                <w:color w:val="auto"/>
                <w:w w:val="99"/>
              </w:rPr>
              <w:t>Three Months ended September 30, 2026</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80"/>
              <w:spacing w:after="0" w:line="191" w:lineRule="exact"/>
              <w:rPr>
                <w:sz w:val="20"/>
                <w:szCs w:val="20"/>
                <w:color w:val="auto"/>
              </w:rPr>
            </w:pPr>
            <w:r>
              <w:rPr>
                <w:rFonts w:ascii="Times New Roman" w:cs="Times New Roman" w:eastAsia="Times New Roman" w:hAnsi="Times New Roman"/>
                <w:sz w:val="18"/>
                <w:szCs w:val="18"/>
                <w:color w:val="auto"/>
                <w:w w:val="99"/>
              </w:rPr>
              <w:t>Residential Real</w:t>
            </w:r>
          </w:p>
        </w:tc>
        <w:tc>
          <w:tcPr>
            <w:tcW w:w="1360" w:type="dxa"/>
            <w:vAlign w:val="bottom"/>
            <w:gridSpan w:val="2"/>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rPr>
              <w:t>Commercial</w:t>
            </w:r>
          </w:p>
        </w:tc>
        <w:tc>
          <w:tcPr>
            <w:tcW w:w="1460" w:type="dxa"/>
            <w:vAlign w:val="bottom"/>
            <w:gridSpan w:val="3"/>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7"/>
              </w:rPr>
              <w:t>Other</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5"/>
                <w:szCs w:val="15"/>
                <w:color w:val="auto"/>
              </w:rPr>
            </w:pPr>
          </w:p>
        </w:tc>
        <w:tc>
          <w:tcPr>
            <w:tcW w:w="1060" w:type="dxa"/>
            <w:vAlign w:val="bottom"/>
            <w:gridSpan w:val="2"/>
          </w:tcPr>
          <w:p>
            <w:pPr>
              <w:ind w:left="160"/>
              <w:spacing w:after="0" w:line="160" w:lineRule="exact"/>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8"/>
                <w:szCs w:val="18"/>
                <w:color w:val="auto"/>
                <w:w w:val="99"/>
              </w:rPr>
              <w:t>Estate</w:t>
            </w:r>
          </w:p>
        </w:tc>
        <w:tc>
          <w:tcPr>
            <w:tcW w:w="13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8"/>
                <w:szCs w:val="18"/>
                <w:color w:val="auto"/>
              </w:rPr>
              <w:t>Real Estate</w:t>
            </w:r>
          </w:p>
        </w:tc>
        <w:tc>
          <w:tcPr>
            <w:tcW w:w="146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8"/>
                <w:szCs w:val="18"/>
                <w:color w:val="auto"/>
                <w:w w:val="98"/>
              </w:rPr>
              <w:t>Commercial</w:t>
            </w:r>
          </w:p>
        </w:tc>
        <w:tc>
          <w:tcPr>
            <w:tcW w:w="12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8"/>
                <w:szCs w:val="18"/>
                <w:color w:val="auto"/>
              </w:rPr>
              <w:t>Home Equity</w:t>
            </w:r>
          </w:p>
        </w:tc>
        <w:tc>
          <w:tcPr>
            <w:tcW w:w="1240" w:type="dxa"/>
            <w:vAlign w:val="bottom"/>
          </w:tcPr>
          <w:p>
            <w:pPr>
              <w:jc w:val="right"/>
              <w:spacing w:after="0" w:line="160" w:lineRule="exact"/>
              <w:rPr>
                <w:sz w:val="20"/>
                <w:szCs w:val="20"/>
                <w:color w:val="auto"/>
              </w:rPr>
            </w:pPr>
            <w:r>
              <w:rPr>
                <w:rFonts w:ascii="Times New Roman" w:cs="Times New Roman" w:eastAsia="Times New Roman" w:hAnsi="Times New Roman"/>
                <w:sz w:val="18"/>
                <w:szCs w:val="18"/>
                <w:color w:val="auto"/>
              </w:rPr>
              <w:t>Other Consumer</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260,025</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25,226</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179,701</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r>
      <w:tr>
        <w:trPr>
          <w:trHeight w:val="243"/>
        </w:trPr>
        <w:tc>
          <w:tcPr>
            <w:tcW w:w="20" w:type="dxa"/>
            <w:vAlign w:val="bottom"/>
          </w:tcPr>
          <w:p>
            <w:pPr>
              <w:spacing w:after="0"/>
              <w:rPr>
                <w:sz w:val="21"/>
                <w:szCs w:val="21"/>
                <w:color w:val="auto"/>
              </w:rPr>
            </w:pPr>
          </w:p>
        </w:tc>
        <w:tc>
          <w:tcPr>
            <w:tcW w:w="3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r>
      <w:tr>
        <w:trPr>
          <w:trHeight w:val="243"/>
        </w:trPr>
        <w:tc>
          <w:tcPr>
            <w:tcW w:w="20" w:type="dxa"/>
            <w:vAlign w:val="bottom"/>
            <w:shd w:val="clear" w:color="auto" w:fill="CCEEFF"/>
          </w:tcPr>
          <w:p>
            <w:pPr>
              <w:spacing w:after="0"/>
              <w:rPr>
                <w:sz w:val="21"/>
                <w:szCs w:val="21"/>
                <w:color w:val="auto"/>
              </w:rPr>
            </w:pPr>
          </w:p>
        </w:tc>
        <w:tc>
          <w:tcPr>
            <w:tcW w:w="3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Charge-offs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r>
      <w:tr>
        <w:trPr>
          <w:trHeight w:val="243"/>
        </w:trPr>
        <w:tc>
          <w:tcPr>
            <w:tcW w:w="20" w:type="dxa"/>
            <w:vAlign w:val="bottom"/>
            <w:tcBorders>
              <w:bottom w:val="single" w:sz="8" w:color="CCEEFF"/>
            </w:tcBorders>
          </w:tcPr>
          <w:p>
            <w:pPr>
              <w:spacing w:after="0"/>
              <w:rPr>
                <w:sz w:val="21"/>
                <w:szCs w:val="21"/>
                <w:color w:val="auto"/>
              </w:rPr>
            </w:pPr>
          </w:p>
        </w:tc>
        <w:tc>
          <w:tcPr>
            <w:tcW w:w="3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259,668</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27,447</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179,454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7"/>
          </w:tcPr>
          <w:p>
            <w:pPr>
              <w:jc w:val="center"/>
              <w:ind w:left="1050"/>
              <w:spacing w:after="0"/>
              <w:rPr>
                <w:sz w:val="20"/>
                <w:szCs w:val="20"/>
                <w:color w:val="auto"/>
              </w:rPr>
            </w:pPr>
            <w:r>
              <w:rPr>
                <w:rFonts w:ascii="Times New Roman" w:cs="Times New Roman" w:eastAsia="Times New Roman" w:hAnsi="Times New Roman"/>
                <w:sz w:val="18"/>
                <w:szCs w:val="18"/>
                <w:color w:val="auto"/>
                <w:w w:val="99"/>
              </w:rPr>
              <w:t>Three Months ended September 30, 2025</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color w:val="auto"/>
                <w:w w:val="99"/>
              </w:rPr>
              <w:t>Residential Real</w:t>
            </w:r>
          </w:p>
        </w:tc>
        <w:tc>
          <w:tcPr>
            <w:tcW w:w="136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rPr>
              <w:t>Commercial</w:t>
            </w:r>
          </w:p>
        </w:tc>
        <w:tc>
          <w:tcPr>
            <w:tcW w:w="1460" w:type="dxa"/>
            <w:vAlign w:val="bottom"/>
            <w:gridSpan w:val="3"/>
          </w:tcPr>
          <w:p>
            <w:pPr>
              <w:jc w:val="center"/>
              <w:ind w:right="220"/>
              <w:spacing w:after="0" w:line="182" w:lineRule="exact"/>
              <w:rPr>
                <w:sz w:val="20"/>
                <w:szCs w:val="20"/>
                <w:color w:val="auto"/>
              </w:rPr>
            </w:pPr>
            <w:r>
              <w:rPr>
                <w:rFonts w:ascii="Times New Roman" w:cs="Times New Roman" w:eastAsia="Times New Roman" w:hAnsi="Times New Roman"/>
                <w:sz w:val="18"/>
                <w:szCs w:val="18"/>
                <w:color w:val="auto"/>
                <w:w w:val="97"/>
              </w:rPr>
              <w:t>Other</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6"/>
                <w:szCs w:val="16"/>
                <w:color w:val="auto"/>
              </w:rPr>
            </w:pPr>
          </w:p>
        </w:tc>
        <w:tc>
          <w:tcPr>
            <w:tcW w:w="106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9"/>
              </w:rPr>
              <w:t>Estate</w:t>
            </w:r>
          </w:p>
        </w:tc>
        <w:tc>
          <w:tcPr>
            <w:tcW w:w="136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rPr>
              <w:t>Real Estate</w:t>
            </w:r>
          </w:p>
        </w:tc>
        <w:tc>
          <w:tcPr>
            <w:tcW w:w="1460" w:type="dxa"/>
            <w:vAlign w:val="bottom"/>
            <w:gridSpan w:val="3"/>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8"/>
              </w:rPr>
              <w:t>Commercial</w:t>
            </w:r>
          </w:p>
        </w:tc>
        <w:tc>
          <w:tcPr>
            <w:tcW w:w="12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Home Equity</w:t>
            </w:r>
          </w:p>
        </w:tc>
        <w:tc>
          <w:tcPr>
            <w:tcW w:w="12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Other Consumer</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226,799</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152,189</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w:t>
            </w:r>
          </w:p>
        </w:tc>
      </w:tr>
      <w:tr>
        <w:trPr>
          <w:trHeight w:val="243"/>
        </w:trPr>
        <w:tc>
          <w:tcPr>
            <w:tcW w:w="20" w:type="dxa"/>
            <w:vAlign w:val="bottom"/>
          </w:tcPr>
          <w:p>
            <w:pPr>
              <w:spacing w:after="0"/>
              <w:rPr>
                <w:sz w:val="21"/>
                <w:szCs w:val="21"/>
                <w:color w:val="auto"/>
              </w:rPr>
            </w:pPr>
          </w:p>
        </w:tc>
        <w:tc>
          <w:tcPr>
            <w:tcW w:w="3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43"/>
        </w:trPr>
        <w:tc>
          <w:tcPr>
            <w:tcW w:w="20" w:type="dxa"/>
            <w:vAlign w:val="bottom"/>
            <w:shd w:val="clear" w:color="auto" w:fill="CCEEFF"/>
          </w:tcPr>
          <w:p>
            <w:pPr>
              <w:spacing w:after="0"/>
              <w:rPr>
                <w:sz w:val="21"/>
                <w:szCs w:val="21"/>
                <w:color w:val="auto"/>
              </w:rPr>
            </w:pPr>
          </w:p>
        </w:tc>
        <w:tc>
          <w:tcPr>
            <w:tcW w:w="3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Charge-offs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r>
      <w:tr>
        <w:trPr>
          <w:trHeight w:val="243"/>
        </w:trPr>
        <w:tc>
          <w:tcPr>
            <w:tcW w:w="20" w:type="dxa"/>
            <w:vAlign w:val="bottom"/>
            <w:tcBorders>
              <w:bottom w:val="single" w:sz="8" w:color="CCEEFF"/>
            </w:tcBorders>
          </w:tcPr>
          <w:p>
            <w:pPr>
              <w:spacing w:after="0"/>
              <w:rPr>
                <w:sz w:val="21"/>
                <w:szCs w:val="21"/>
                <w:color w:val="auto"/>
              </w:rPr>
            </w:pPr>
          </w:p>
        </w:tc>
        <w:tc>
          <w:tcPr>
            <w:tcW w:w="3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229,077</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24,309</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156,243</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582"/>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7"/>
          </w:tcPr>
          <w:p>
            <w:pPr>
              <w:jc w:val="center"/>
              <w:ind w:left="1050"/>
              <w:spacing w:after="0"/>
              <w:rPr>
                <w:sz w:val="20"/>
                <w:szCs w:val="20"/>
                <w:color w:val="auto"/>
              </w:rPr>
            </w:pPr>
            <w:r>
              <w:rPr>
                <w:rFonts w:ascii="Times New Roman" w:cs="Times New Roman" w:eastAsia="Times New Roman" w:hAnsi="Times New Roman"/>
                <w:sz w:val="18"/>
                <w:szCs w:val="18"/>
                <w:color w:val="auto"/>
                <w:w w:val="99"/>
              </w:rPr>
              <w:t>Nine Months ended September 30, 2026</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color w:val="auto"/>
                <w:w w:val="99"/>
              </w:rPr>
              <w:t>Residential Real</w:t>
            </w:r>
          </w:p>
        </w:tc>
        <w:tc>
          <w:tcPr>
            <w:tcW w:w="136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rPr>
              <w:t>Commercial</w:t>
            </w:r>
          </w:p>
        </w:tc>
        <w:tc>
          <w:tcPr>
            <w:tcW w:w="1460" w:type="dxa"/>
            <w:vAlign w:val="bottom"/>
            <w:gridSpan w:val="3"/>
          </w:tcPr>
          <w:p>
            <w:pPr>
              <w:jc w:val="center"/>
              <w:ind w:right="220"/>
              <w:spacing w:after="0" w:line="182" w:lineRule="exact"/>
              <w:rPr>
                <w:sz w:val="20"/>
                <w:szCs w:val="20"/>
                <w:color w:val="auto"/>
              </w:rPr>
            </w:pPr>
            <w:r>
              <w:rPr>
                <w:rFonts w:ascii="Times New Roman" w:cs="Times New Roman" w:eastAsia="Times New Roman" w:hAnsi="Times New Roman"/>
                <w:sz w:val="18"/>
                <w:szCs w:val="18"/>
                <w:color w:val="auto"/>
                <w:w w:val="97"/>
              </w:rPr>
              <w:t>Other</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6"/>
                <w:szCs w:val="16"/>
                <w:color w:val="auto"/>
              </w:rPr>
            </w:pPr>
          </w:p>
        </w:tc>
        <w:tc>
          <w:tcPr>
            <w:tcW w:w="106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9"/>
              </w:rPr>
              <w:t>Estate</w:t>
            </w:r>
          </w:p>
        </w:tc>
        <w:tc>
          <w:tcPr>
            <w:tcW w:w="136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rPr>
              <w:t>Real Estate</w:t>
            </w:r>
          </w:p>
        </w:tc>
        <w:tc>
          <w:tcPr>
            <w:tcW w:w="1460" w:type="dxa"/>
            <w:vAlign w:val="bottom"/>
            <w:gridSpan w:val="3"/>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8"/>
              </w:rPr>
              <w:t>Commercial</w:t>
            </w:r>
          </w:p>
        </w:tc>
        <w:tc>
          <w:tcPr>
            <w:tcW w:w="12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Home Equity</w:t>
            </w:r>
          </w:p>
        </w:tc>
        <w:tc>
          <w:tcPr>
            <w:tcW w:w="12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Other Consumer</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255,319</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166,803</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w:t>
            </w:r>
          </w:p>
        </w:tc>
      </w:tr>
      <w:tr>
        <w:trPr>
          <w:trHeight w:val="243"/>
        </w:trPr>
        <w:tc>
          <w:tcPr>
            <w:tcW w:w="20" w:type="dxa"/>
            <w:vAlign w:val="bottom"/>
          </w:tcPr>
          <w:p>
            <w:pPr>
              <w:spacing w:after="0"/>
              <w:rPr>
                <w:sz w:val="21"/>
                <w:szCs w:val="21"/>
                <w:color w:val="auto"/>
              </w:rPr>
            </w:pPr>
          </w:p>
        </w:tc>
        <w:tc>
          <w:tcPr>
            <w:tcW w:w="3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19,282</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w:t>
            </w:r>
          </w:p>
        </w:tc>
      </w:tr>
      <w:tr>
        <w:trPr>
          <w:trHeight w:val="243"/>
        </w:trPr>
        <w:tc>
          <w:tcPr>
            <w:tcW w:w="20" w:type="dxa"/>
            <w:vAlign w:val="bottom"/>
            <w:shd w:val="clear" w:color="auto" w:fill="CCEEFF"/>
          </w:tcPr>
          <w:p>
            <w:pPr>
              <w:spacing w:after="0"/>
              <w:rPr>
                <w:sz w:val="21"/>
                <w:szCs w:val="21"/>
                <w:color w:val="auto"/>
              </w:rPr>
            </w:pPr>
          </w:p>
        </w:tc>
        <w:tc>
          <w:tcPr>
            <w:tcW w:w="3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Charge-offs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(18,578)</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r>
      <w:tr>
        <w:trPr>
          <w:trHeight w:val="243"/>
        </w:trPr>
        <w:tc>
          <w:tcPr>
            <w:tcW w:w="20" w:type="dxa"/>
            <w:vAlign w:val="bottom"/>
            <w:tcBorders>
              <w:bottom w:val="single" w:sz="8" w:color="CCEEFF"/>
            </w:tcBorders>
          </w:tcPr>
          <w:p>
            <w:pPr>
              <w:spacing w:after="0"/>
              <w:rPr>
                <w:sz w:val="21"/>
                <w:szCs w:val="21"/>
                <w:color w:val="auto"/>
              </w:rPr>
            </w:pPr>
          </w:p>
        </w:tc>
        <w:tc>
          <w:tcPr>
            <w:tcW w:w="3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w:t>
            </w: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259,668</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27,447</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179,454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7"/>
          </w:tcPr>
          <w:p>
            <w:pPr>
              <w:jc w:val="center"/>
              <w:ind w:left="1050"/>
              <w:spacing w:after="0"/>
              <w:rPr>
                <w:sz w:val="20"/>
                <w:szCs w:val="20"/>
                <w:color w:val="auto"/>
              </w:rPr>
            </w:pPr>
            <w:r>
              <w:rPr>
                <w:rFonts w:ascii="Times New Roman" w:cs="Times New Roman" w:eastAsia="Times New Roman" w:hAnsi="Times New Roman"/>
                <w:sz w:val="18"/>
                <w:szCs w:val="18"/>
                <w:color w:val="auto"/>
                <w:w w:val="99"/>
              </w:rPr>
              <w:t>Nine Months ended September 30, 2025</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80"/>
              <w:spacing w:after="0" w:line="191" w:lineRule="exact"/>
              <w:rPr>
                <w:sz w:val="20"/>
                <w:szCs w:val="20"/>
                <w:color w:val="auto"/>
              </w:rPr>
            </w:pPr>
            <w:r>
              <w:rPr>
                <w:rFonts w:ascii="Times New Roman" w:cs="Times New Roman" w:eastAsia="Times New Roman" w:hAnsi="Times New Roman"/>
                <w:sz w:val="18"/>
                <w:szCs w:val="18"/>
                <w:color w:val="auto"/>
                <w:w w:val="99"/>
              </w:rPr>
              <w:t>Residential Real</w:t>
            </w:r>
          </w:p>
        </w:tc>
        <w:tc>
          <w:tcPr>
            <w:tcW w:w="1360" w:type="dxa"/>
            <w:vAlign w:val="bottom"/>
            <w:gridSpan w:val="2"/>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rPr>
              <w:t>Commercial</w:t>
            </w:r>
          </w:p>
        </w:tc>
        <w:tc>
          <w:tcPr>
            <w:tcW w:w="1460" w:type="dxa"/>
            <w:vAlign w:val="bottom"/>
            <w:gridSpan w:val="3"/>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7"/>
              </w:rPr>
              <w:t>Other</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Pr>
          <w:p>
            <w:pPr>
              <w:spacing w:after="0"/>
              <w:rPr>
                <w:sz w:val="15"/>
                <w:szCs w:val="15"/>
                <w:color w:val="auto"/>
              </w:rPr>
            </w:pPr>
          </w:p>
        </w:tc>
        <w:tc>
          <w:tcPr>
            <w:tcW w:w="1060" w:type="dxa"/>
            <w:vAlign w:val="bottom"/>
            <w:gridSpan w:val="2"/>
          </w:tcPr>
          <w:p>
            <w:pPr>
              <w:ind w:left="160"/>
              <w:spacing w:after="0" w:line="160" w:lineRule="exact"/>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8"/>
                <w:szCs w:val="18"/>
                <w:color w:val="auto"/>
                <w:w w:val="99"/>
              </w:rPr>
              <w:t>Estate</w:t>
            </w:r>
          </w:p>
        </w:tc>
        <w:tc>
          <w:tcPr>
            <w:tcW w:w="13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8"/>
                <w:szCs w:val="18"/>
                <w:color w:val="auto"/>
              </w:rPr>
              <w:t>Real Estate</w:t>
            </w:r>
          </w:p>
        </w:tc>
        <w:tc>
          <w:tcPr>
            <w:tcW w:w="146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8"/>
                <w:szCs w:val="18"/>
                <w:color w:val="auto"/>
                <w:w w:val="98"/>
              </w:rPr>
              <w:t>Commercial</w:t>
            </w:r>
          </w:p>
        </w:tc>
        <w:tc>
          <w:tcPr>
            <w:tcW w:w="12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8"/>
                <w:szCs w:val="18"/>
                <w:color w:val="auto"/>
              </w:rPr>
              <w:t>Home Equity</w:t>
            </w:r>
          </w:p>
        </w:tc>
        <w:tc>
          <w:tcPr>
            <w:tcW w:w="1240" w:type="dxa"/>
            <w:vAlign w:val="bottom"/>
          </w:tcPr>
          <w:p>
            <w:pPr>
              <w:jc w:val="right"/>
              <w:spacing w:after="0" w:line="160" w:lineRule="exact"/>
              <w:rPr>
                <w:sz w:val="20"/>
                <w:szCs w:val="20"/>
                <w:color w:val="auto"/>
              </w:rPr>
            </w:pPr>
            <w:r>
              <w:rPr>
                <w:rFonts w:ascii="Times New Roman" w:cs="Times New Roman" w:eastAsia="Times New Roman" w:hAnsi="Times New Roman"/>
                <w:sz w:val="18"/>
                <w:szCs w:val="18"/>
                <w:color w:val="auto"/>
              </w:rPr>
              <w:t>Other Consumer</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206,041</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25,181</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138,545</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r>
      <w:tr>
        <w:trPr>
          <w:trHeight w:val="243"/>
        </w:trPr>
        <w:tc>
          <w:tcPr>
            <w:tcW w:w="20" w:type="dxa"/>
            <w:vAlign w:val="bottom"/>
          </w:tcPr>
          <w:p>
            <w:pPr>
              <w:spacing w:after="0"/>
              <w:rPr>
                <w:sz w:val="21"/>
                <w:szCs w:val="21"/>
                <w:color w:val="auto"/>
              </w:rPr>
            </w:pPr>
          </w:p>
        </w:tc>
        <w:tc>
          <w:tcPr>
            <w:tcW w:w="3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20" w:type="dxa"/>
            <w:vAlign w:val="bottom"/>
            <w:shd w:val="clear" w:color="auto" w:fill="CCEEFF"/>
          </w:tcPr>
          <w:p>
            <w:pPr>
              <w:spacing w:after="0"/>
              <w:rPr>
                <w:sz w:val="21"/>
                <w:szCs w:val="21"/>
                <w:color w:val="auto"/>
              </w:rPr>
            </w:pPr>
          </w:p>
        </w:tc>
        <w:tc>
          <w:tcPr>
            <w:tcW w:w="3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29,355</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r>
      <w:tr>
        <w:trPr>
          <w:trHeight w:val="243"/>
        </w:trPr>
        <w:tc>
          <w:tcPr>
            <w:tcW w:w="20" w:type="dxa"/>
            <w:vAlign w:val="bottom"/>
          </w:tcPr>
          <w:p>
            <w:pPr>
              <w:spacing w:after="0"/>
              <w:rPr>
                <w:sz w:val="21"/>
                <w:szCs w:val="21"/>
                <w:color w:val="auto"/>
              </w:rPr>
            </w:pPr>
          </w:p>
        </w:tc>
        <w:tc>
          <w:tcPr>
            <w:tcW w:w="3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Charge-offs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(11,276)</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w:t>
            </w:r>
          </w:p>
        </w:tc>
      </w:tr>
      <w:tr>
        <w:trPr>
          <w:trHeight w:val="243"/>
        </w:trPr>
        <w:tc>
          <w:tcPr>
            <w:tcW w:w="20" w:type="dxa"/>
            <w:vAlign w:val="bottom"/>
            <w:shd w:val="clear" w:color="auto" w:fill="CCEEFF"/>
          </w:tcPr>
          <w:p>
            <w:pPr>
              <w:spacing w:after="0"/>
              <w:rPr>
                <w:sz w:val="21"/>
                <w:szCs w:val="21"/>
                <w:color w:val="auto"/>
              </w:rPr>
            </w:pPr>
          </w:p>
        </w:tc>
        <w:tc>
          <w:tcPr>
            <w:tcW w:w="3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8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r>
      <w:tr>
        <w:trPr>
          <w:trHeight w:val="237"/>
        </w:trPr>
        <w:tc>
          <w:tcPr>
            <w:tcW w:w="20" w:type="dxa"/>
            <w:vAlign w:val="bottom"/>
          </w:tcPr>
          <w:p>
            <w:pPr>
              <w:spacing w:after="0"/>
              <w:rPr>
                <w:sz w:val="20"/>
                <w:szCs w:val="20"/>
                <w:color w:val="auto"/>
              </w:rPr>
            </w:pPr>
          </w:p>
        </w:tc>
        <w:tc>
          <w:tcPr>
            <w:tcW w:w="32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229,077</w:t>
            </w:r>
          </w:p>
        </w:tc>
        <w:tc>
          <w:tcPr>
            <w:tcW w:w="8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24,309</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156,243</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32,406</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6,677</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ACL increased primarily due to portfolio growth, composition changes, various environmental and economic factors and credit quality considerations. During the nine months ended September 30, 2025, the ACL increased primarily due to the provision for credit losses recorded as a result of the acquisition of BOID.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sizable charge-offs in the other consumer loan segment was driven by deposit overdraft charge-offs which typically experience high charge-off rates and the amounts were comparable to historical trends. The other segments generally experience routine charge-offs and recoveries, with occasional large credit relationships charge-offs and recoveries that cause fluctuations from prior periods. During the nine months ended September 30, 2026, there have been no significant changes to the types of collateral securing collateral dependent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Aging Analysis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an aging analysis of the recorded investment in loans: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color w:val="auto"/>
              </w:rPr>
              <w:t>September 30, 2026</w:t>
            </w: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color w:val="auto"/>
              </w:rPr>
              <w:t>Residential</w:t>
            </w:r>
          </w:p>
        </w:tc>
        <w:tc>
          <w:tcPr>
            <w:tcW w:w="134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w w:val="98"/>
              </w:rPr>
              <w:t>Commercial</w:t>
            </w:r>
          </w:p>
        </w:tc>
        <w:tc>
          <w:tcPr>
            <w:tcW w:w="136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rPr>
              <w:t>Other</w:t>
            </w:r>
          </w:p>
        </w:tc>
        <w:tc>
          <w:tcPr>
            <w:tcW w:w="1340" w:type="dxa"/>
            <w:vAlign w:val="bottom"/>
            <w:gridSpan w:val="2"/>
          </w:tcPr>
          <w:p>
            <w:pPr>
              <w:ind w:left="380"/>
              <w:spacing w:after="0" w:line="182" w:lineRule="exact"/>
              <w:rPr>
                <w:sz w:val="20"/>
                <w:szCs w:val="20"/>
                <w:color w:val="auto"/>
              </w:rPr>
            </w:pPr>
            <w:r>
              <w:rPr>
                <w:rFonts w:ascii="Times New Roman" w:cs="Times New Roman" w:eastAsia="Times New Roman" w:hAnsi="Times New Roman"/>
                <w:sz w:val="18"/>
                <w:szCs w:val="18"/>
                <w:color w:val="auto"/>
              </w:rPr>
              <w:t>Home</w:t>
            </w:r>
          </w:p>
        </w:tc>
        <w:tc>
          <w:tcPr>
            <w:tcW w:w="12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Other</w:t>
            </w:r>
          </w:p>
        </w:tc>
      </w:tr>
      <w:tr>
        <w:trPr>
          <w:trHeight w:val="189"/>
        </w:trPr>
        <w:tc>
          <w:tcPr>
            <w:tcW w:w="20" w:type="dxa"/>
            <w:vAlign w:val="bottom"/>
          </w:tcPr>
          <w:p>
            <w:pPr>
              <w:spacing w:after="0"/>
              <w:rPr>
                <w:sz w:val="16"/>
                <w:szCs w:val="16"/>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1120" w:type="dxa"/>
            <w:vAlign w:val="bottom"/>
            <w:gridSpan w:val="2"/>
          </w:tcPr>
          <w:p>
            <w:pPr>
              <w:ind w:left="200"/>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2"/>
          </w:tcPr>
          <w:p>
            <w:pPr>
              <w:ind w:left="200"/>
              <w:spacing w:after="0" w:line="169" w:lineRule="exact"/>
              <w:rPr>
                <w:sz w:val="20"/>
                <w:szCs w:val="20"/>
                <w:color w:val="auto"/>
              </w:rPr>
            </w:pPr>
            <w:r>
              <w:rPr>
                <w:rFonts w:ascii="Times New Roman" w:cs="Times New Roman" w:eastAsia="Times New Roman" w:hAnsi="Times New Roman"/>
                <w:sz w:val="18"/>
                <w:szCs w:val="18"/>
                <w:color w:val="auto"/>
              </w:rPr>
              <w:t>Real Estate</w:t>
            </w:r>
          </w:p>
        </w:tc>
        <w:tc>
          <w:tcPr>
            <w:tcW w:w="134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color w:val="auto"/>
              </w:rPr>
              <w:t>Real Estate</w:t>
            </w:r>
          </w:p>
        </w:tc>
        <w:tc>
          <w:tcPr>
            <w:tcW w:w="136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rPr>
              <w:t>Commercial</w:t>
            </w:r>
          </w:p>
        </w:tc>
        <w:tc>
          <w:tcPr>
            <w:tcW w:w="1340" w:type="dxa"/>
            <w:vAlign w:val="bottom"/>
            <w:gridSpan w:val="2"/>
          </w:tcPr>
          <w:p>
            <w:pPr>
              <w:ind w:left="360"/>
              <w:spacing w:after="0" w:line="169" w:lineRule="exact"/>
              <w:rPr>
                <w:sz w:val="20"/>
                <w:szCs w:val="20"/>
                <w:color w:val="auto"/>
              </w:rPr>
            </w:pPr>
            <w:r>
              <w:rPr>
                <w:rFonts w:ascii="Times New Roman" w:cs="Times New Roman" w:eastAsia="Times New Roman" w:hAnsi="Times New Roman"/>
                <w:sz w:val="18"/>
                <w:szCs w:val="18"/>
                <w:color w:val="auto"/>
              </w:rPr>
              <w:t>Equity</w:t>
            </w:r>
          </w:p>
        </w:tc>
        <w:tc>
          <w:tcPr>
            <w:tcW w:w="12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Consumer</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Accruing loans 30-59 days past due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27,241</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r>
      <w:tr>
        <w:trPr>
          <w:trHeight w:val="243"/>
        </w:trPr>
        <w:tc>
          <w:tcPr>
            <w:tcW w:w="20" w:type="dxa"/>
            <w:vAlign w:val="bottom"/>
          </w:tcPr>
          <w:p>
            <w:pPr>
              <w:spacing w:after="0"/>
              <w:rPr>
                <w:sz w:val="21"/>
                <w:szCs w:val="21"/>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Accruing loans 60-89 days past due</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30,908</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43"/>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Accruing loans 90 days or more past due</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43"/>
        </w:trPr>
        <w:tc>
          <w:tcPr>
            <w:tcW w:w="20" w:type="dxa"/>
            <w:vAlign w:val="bottom"/>
          </w:tcPr>
          <w:p>
            <w:pPr>
              <w:spacing w:after="0"/>
              <w:rPr>
                <w:sz w:val="21"/>
                <w:szCs w:val="21"/>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Non-accrual loans with no ACL</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66,769</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23,337</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43"/>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Non-accrual loans with ACL</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169"/>
        </w:trPr>
        <w:tc>
          <w:tcPr>
            <w:tcW w:w="20" w:type="dxa"/>
            <w:vAlign w:val="bottom"/>
          </w:tcPr>
          <w:p>
            <w:pPr>
              <w:spacing w:after="0"/>
              <w:rPr>
                <w:sz w:val="14"/>
                <w:szCs w:val="14"/>
                <w:color w:val="auto"/>
              </w:rPr>
            </w:pPr>
          </w:p>
        </w:tc>
        <w:tc>
          <w:tcPr>
            <w:tcW w:w="3300" w:type="dxa"/>
            <w:vAlign w:val="bottom"/>
            <w:gridSpan w:val="2"/>
          </w:tcPr>
          <w:p>
            <w:pPr>
              <w:ind w:left="340"/>
              <w:spacing w:after="0" w:line="169" w:lineRule="exact"/>
              <w:rPr>
                <w:sz w:val="20"/>
                <w:szCs w:val="20"/>
                <w:color w:val="auto"/>
              </w:rPr>
            </w:pPr>
            <w:r>
              <w:rPr>
                <w:rFonts w:ascii="Times New Roman" w:cs="Times New Roman" w:eastAsia="Times New Roman" w:hAnsi="Times New Roman"/>
                <w:sz w:val="18"/>
                <w:szCs w:val="18"/>
                <w:color w:val="auto"/>
              </w:rPr>
              <w:t>Total past due and</w:t>
            </w: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3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non-accrual loans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143,570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w:t>
            </w:r>
          </w:p>
        </w:tc>
      </w:tr>
      <w:tr>
        <w:trPr>
          <w:trHeight w:val="243"/>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loans receivable</w:t>
            </w: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21,475,960</w:t>
            </w: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2,066,900</w:t>
            </w:r>
          </w:p>
        </w:tc>
        <w:tc>
          <w:tcPr>
            <w:tcW w:w="10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14,383,024</w:t>
            </w:r>
          </w:p>
        </w:tc>
        <w:tc>
          <w:tcPr>
            <w:tcW w:w="10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3,574,304</w:t>
            </w: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1,038,975</w:t>
            </w: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412,757</w:t>
            </w:r>
          </w:p>
        </w:tc>
      </w:tr>
      <w:tr>
        <w:trPr>
          <w:trHeight w:val="237"/>
        </w:trPr>
        <w:tc>
          <w:tcPr>
            <w:tcW w:w="20" w:type="dxa"/>
            <w:vAlign w:val="bottom"/>
          </w:tcPr>
          <w:p>
            <w:pPr>
              <w:spacing w:after="0"/>
              <w:rPr>
                <w:sz w:val="20"/>
                <w:szCs w:val="20"/>
                <w:color w:val="auto"/>
              </w:rPr>
            </w:pPr>
          </w:p>
        </w:tc>
        <w:tc>
          <w:tcPr>
            <w:tcW w:w="3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loans receivable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21,619,530</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2,104,815</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14,432,233</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3,613,414</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1,050,852</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418,216</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74"/>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color w:val="auto"/>
              </w:rPr>
              <w:t>December 31, 2025</w:t>
            </w: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color w:val="auto"/>
              </w:rPr>
              <w:t>Residential</w:t>
            </w:r>
          </w:p>
        </w:tc>
        <w:tc>
          <w:tcPr>
            <w:tcW w:w="134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w w:val="98"/>
              </w:rPr>
              <w:t>Commercial</w:t>
            </w:r>
          </w:p>
        </w:tc>
        <w:tc>
          <w:tcPr>
            <w:tcW w:w="136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rPr>
              <w:t>Other</w:t>
            </w:r>
          </w:p>
        </w:tc>
        <w:tc>
          <w:tcPr>
            <w:tcW w:w="1340" w:type="dxa"/>
            <w:vAlign w:val="bottom"/>
            <w:gridSpan w:val="2"/>
          </w:tcPr>
          <w:p>
            <w:pPr>
              <w:ind w:left="380"/>
              <w:spacing w:after="0" w:line="182" w:lineRule="exact"/>
              <w:rPr>
                <w:sz w:val="20"/>
                <w:szCs w:val="20"/>
                <w:color w:val="auto"/>
              </w:rPr>
            </w:pPr>
            <w:r>
              <w:rPr>
                <w:rFonts w:ascii="Times New Roman" w:cs="Times New Roman" w:eastAsia="Times New Roman" w:hAnsi="Times New Roman"/>
                <w:sz w:val="18"/>
                <w:szCs w:val="18"/>
                <w:color w:val="auto"/>
              </w:rPr>
              <w:t>Home</w:t>
            </w:r>
          </w:p>
        </w:tc>
        <w:tc>
          <w:tcPr>
            <w:tcW w:w="12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Other</w:t>
            </w:r>
          </w:p>
        </w:tc>
      </w:tr>
      <w:tr>
        <w:trPr>
          <w:trHeight w:val="189"/>
        </w:trPr>
        <w:tc>
          <w:tcPr>
            <w:tcW w:w="20" w:type="dxa"/>
            <w:vAlign w:val="bottom"/>
          </w:tcPr>
          <w:p>
            <w:pPr>
              <w:spacing w:after="0"/>
              <w:rPr>
                <w:sz w:val="16"/>
                <w:szCs w:val="16"/>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1120" w:type="dxa"/>
            <w:vAlign w:val="bottom"/>
            <w:gridSpan w:val="2"/>
          </w:tcPr>
          <w:p>
            <w:pPr>
              <w:ind w:left="200"/>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2"/>
          </w:tcPr>
          <w:p>
            <w:pPr>
              <w:ind w:left="200"/>
              <w:spacing w:after="0" w:line="169" w:lineRule="exact"/>
              <w:rPr>
                <w:sz w:val="20"/>
                <w:szCs w:val="20"/>
                <w:color w:val="auto"/>
              </w:rPr>
            </w:pPr>
            <w:r>
              <w:rPr>
                <w:rFonts w:ascii="Times New Roman" w:cs="Times New Roman" w:eastAsia="Times New Roman" w:hAnsi="Times New Roman"/>
                <w:sz w:val="18"/>
                <w:szCs w:val="18"/>
                <w:color w:val="auto"/>
              </w:rPr>
              <w:t>Real Estate</w:t>
            </w:r>
          </w:p>
        </w:tc>
        <w:tc>
          <w:tcPr>
            <w:tcW w:w="134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color w:val="auto"/>
              </w:rPr>
              <w:t>Real Estate</w:t>
            </w:r>
          </w:p>
        </w:tc>
        <w:tc>
          <w:tcPr>
            <w:tcW w:w="136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rPr>
              <w:t>Commercial</w:t>
            </w:r>
          </w:p>
        </w:tc>
        <w:tc>
          <w:tcPr>
            <w:tcW w:w="1340" w:type="dxa"/>
            <w:vAlign w:val="bottom"/>
            <w:gridSpan w:val="2"/>
          </w:tcPr>
          <w:p>
            <w:pPr>
              <w:ind w:left="360"/>
              <w:spacing w:after="0" w:line="169" w:lineRule="exact"/>
              <w:rPr>
                <w:sz w:val="20"/>
                <w:szCs w:val="20"/>
                <w:color w:val="auto"/>
              </w:rPr>
            </w:pPr>
            <w:r>
              <w:rPr>
                <w:rFonts w:ascii="Times New Roman" w:cs="Times New Roman" w:eastAsia="Times New Roman" w:hAnsi="Times New Roman"/>
                <w:sz w:val="18"/>
                <w:szCs w:val="18"/>
                <w:color w:val="auto"/>
              </w:rPr>
              <w:t>Equity</w:t>
            </w:r>
          </w:p>
        </w:tc>
        <w:tc>
          <w:tcPr>
            <w:tcW w:w="12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Consumer</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Accruing loans 30-59 days past due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60,719</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14,310</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30,212</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r>
      <w:tr>
        <w:trPr>
          <w:trHeight w:val="243"/>
        </w:trPr>
        <w:tc>
          <w:tcPr>
            <w:tcW w:w="20" w:type="dxa"/>
            <w:vAlign w:val="bottom"/>
          </w:tcPr>
          <w:p>
            <w:pPr>
              <w:spacing w:after="0"/>
              <w:rPr>
                <w:sz w:val="21"/>
                <w:szCs w:val="21"/>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Accruing loans 60-89 days past due</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18,107</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43"/>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Accruing loans 90 days or more past due</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43"/>
        </w:trPr>
        <w:tc>
          <w:tcPr>
            <w:tcW w:w="20" w:type="dxa"/>
            <w:vAlign w:val="bottom"/>
          </w:tcPr>
          <w:p>
            <w:pPr>
              <w:spacing w:after="0"/>
              <w:rPr>
                <w:sz w:val="21"/>
                <w:szCs w:val="21"/>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Non-accrual loans with no ACL</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59,775</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25,916</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43"/>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Non-accrual loans with ACL</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7"/>
        </w:trPr>
        <w:tc>
          <w:tcPr>
            <w:tcW w:w="20" w:type="dxa"/>
            <w:vAlign w:val="bottom"/>
          </w:tcPr>
          <w:p>
            <w:pPr>
              <w:spacing w:after="0"/>
              <w:rPr>
                <w:sz w:val="20"/>
                <w:szCs w:val="20"/>
                <w:color w:val="auto"/>
              </w:rPr>
            </w:pPr>
          </w:p>
        </w:tc>
        <w:tc>
          <w:tcPr>
            <w:tcW w:w="3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past due and non-accrual loans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147,310</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36,864</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51,328</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43,134</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6,737</w:t>
            </w:r>
          </w:p>
        </w:tc>
      </w:tr>
      <w:tr>
        <w:trPr>
          <w:trHeight w:val="243"/>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loans receivable</w:t>
            </w: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20,780,486</w:t>
            </w: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2,421,043</w:t>
            </w:r>
          </w:p>
        </w:tc>
        <w:tc>
          <w:tcPr>
            <w:tcW w:w="10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13,514,184</w:t>
            </w:r>
          </w:p>
        </w:tc>
        <w:tc>
          <w:tcPr>
            <w:tcW w:w="10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3,454,695</w:t>
            </w: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967,959</w:t>
            </w: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422,605</w:t>
            </w:r>
          </w:p>
        </w:tc>
      </w:tr>
      <w:tr>
        <w:trPr>
          <w:trHeight w:val="237"/>
        </w:trPr>
        <w:tc>
          <w:tcPr>
            <w:tcW w:w="20" w:type="dxa"/>
            <w:vAlign w:val="bottom"/>
          </w:tcPr>
          <w:p>
            <w:pPr>
              <w:spacing w:after="0"/>
              <w:rPr>
                <w:sz w:val="20"/>
                <w:szCs w:val="20"/>
                <w:color w:val="auto"/>
              </w:rPr>
            </w:pPr>
          </w:p>
        </w:tc>
        <w:tc>
          <w:tcPr>
            <w:tcW w:w="3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loans receivable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20,927,796</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2,457,907</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13,565,512</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3,497,829</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977,206</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429,342</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$2,467,000 and $1,025,000 of interest reversed on non-accrual loans during the nine months ended September 30, 2026 and 2025, respectively.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Collateral-Dependent Loans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loan is considered collateral-dependent when the borrower is experiencing financial difficulty and repayment is expected to be provided substantially through the operation or sale of the collateral. The collateral on the loans is a significant portion of what secures the collateral-dependent loans and significant changes to the fair value of the collateral can impact the ACL. During the nine months ended September 30, 2026, there were no significant changes to collateral which secures the collateral-dependent loans, whether due to general deterioration or other reasons. The following tables present the amortized cost basis of collateral-dependent loans by collateral type: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color w:val="auto"/>
              </w:rPr>
              <w:t>September 30, 2026</w:t>
            </w: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200"/>
              <w:spacing w:after="0" w:line="191" w:lineRule="exact"/>
              <w:rPr>
                <w:sz w:val="20"/>
                <w:szCs w:val="20"/>
                <w:color w:val="auto"/>
              </w:rPr>
            </w:pPr>
            <w:r>
              <w:rPr>
                <w:rFonts w:ascii="Times New Roman" w:cs="Times New Roman" w:eastAsia="Times New Roman" w:hAnsi="Times New Roman"/>
                <w:sz w:val="18"/>
                <w:szCs w:val="18"/>
                <w:color w:val="auto"/>
              </w:rPr>
              <w:t>Residential</w:t>
            </w:r>
          </w:p>
        </w:tc>
        <w:tc>
          <w:tcPr>
            <w:tcW w:w="1340" w:type="dxa"/>
            <w:vAlign w:val="bottom"/>
            <w:gridSpan w:val="2"/>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w w:val="98"/>
              </w:rPr>
              <w:t>Commercial</w:t>
            </w:r>
          </w:p>
        </w:tc>
        <w:tc>
          <w:tcPr>
            <w:tcW w:w="1360" w:type="dxa"/>
            <w:vAlign w:val="bottom"/>
            <w:gridSpan w:val="2"/>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rPr>
              <w:t>Other</w:t>
            </w:r>
          </w:p>
        </w:tc>
        <w:tc>
          <w:tcPr>
            <w:tcW w:w="1340" w:type="dxa"/>
            <w:vAlign w:val="bottom"/>
            <w:gridSpan w:val="2"/>
          </w:tcPr>
          <w:p>
            <w:pPr>
              <w:ind w:left="380"/>
              <w:spacing w:after="0" w:line="191" w:lineRule="exact"/>
              <w:rPr>
                <w:sz w:val="20"/>
                <w:szCs w:val="20"/>
                <w:color w:val="auto"/>
              </w:rPr>
            </w:pPr>
            <w:r>
              <w:rPr>
                <w:rFonts w:ascii="Times New Roman" w:cs="Times New Roman" w:eastAsia="Times New Roman" w:hAnsi="Times New Roman"/>
                <w:sz w:val="18"/>
                <w:szCs w:val="18"/>
                <w:color w:val="auto"/>
              </w:rPr>
              <w:t>Home</w:t>
            </w:r>
          </w:p>
        </w:tc>
        <w:tc>
          <w:tcPr>
            <w:tcW w:w="1220" w:type="dxa"/>
            <w:vAlign w:val="bottom"/>
          </w:tcPr>
          <w:p>
            <w:pPr>
              <w:jc w:val="right"/>
              <w:ind w:right="310"/>
              <w:spacing w:after="0" w:line="191" w:lineRule="exact"/>
              <w:rPr>
                <w:sz w:val="20"/>
                <w:szCs w:val="20"/>
                <w:color w:val="auto"/>
              </w:rPr>
            </w:pPr>
            <w:r>
              <w:rPr>
                <w:rFonts w:ascii="Times New Roman" w:cs="Times New Roman" w:eastAsia="Times New Roman" w:hAnsi="Times New Roman"/>
                <w:sz w:val="18"/>
                <w:szCs w:val="18"/>
                <w:color w:val="auto"/>
              </w:rPr>
              <w:t>Other</w:t>
            </w:r>
          </w:p>
        </w:tc>
      </w:tr>
      <w:tr>
        <w:trPr>
          <w:trHeight w:val="180"/>
        </w:trPr>
        <w:tc>
          <w:tcPr>
            <w:tcW w:w="20" w:type="dxa"/>
            <w:vAlign w:val="bottom"/>
          </w:tcPr>
          <w:p>
            <w:pPr>
              <w:spacing w:after="0"/>
              <w:rPr>
                <w:sz w:val="15"/>
                <w:szCs w:val="15"/>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Pr>
          <w:p>
            <w:pPr>
              <w:spacing w:after="0"/>
              <w:rPr>
                <w:sz w:val="15"/>
                <w:szCs w:val="15"/>
                <w:color w:val="auto"/>
              </w:rPr>
            </w:pPr>
          </w:p>
        </w:tc>
        <w:tc>
          <w:tcPr>
            <w:tcW w:w="1060" w:type="dxa"/>
            <w:vAlign w:val="bottom"/>
            <w:gridSpan w:val="2"/>
          </w:tcPr>
          <w:p>
            <w:pPr>
              <w:ind w:left="160"/>
              <w:spacing w:after="0" w:line="160" w:lineRule="exact"/>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8"/>
                <w:szCs w:val="18"/>
                <w:color w:val="auto"/>
              </w:rPr>
              <w:t>Real Estate</w:t>
            </w:r>
          </w:p>
        </w:tc>
        <w:tc>
          <w:tcPr>
            <w:tcW w:w="13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8"/>
                <w:szCs w:val="18"/>
                <w:color w:val="auto"/>
              </w:rPr>
              <w:t>Real Estate</w:t>
            </w:r>
          </w:p>
        </w:tc>
        <w:tc>
          <w:tcPr>
            <w:tcW w:w="13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8"/>
                <w:szCs w:val="18"/>
                <w:color w:val="auto"/>
              </w:rPr>
              <w:t>Commercial</w:t>
            </w:r>
          </w:p>
        </w:tc>
        <w:tc>
          <w:tcPr>
            <w:tcW w:w="1340" w:type="dxa"/>
            <w:vAlign w:val="bottom"/>
            <w:gridSpan w:val="2"/>
          </w:tcPr>
          <w:p>
            <w:pPr>
              <w:ind w:left="360"/>
              <w:spacing w:after="0" w:line="160" w:lineRule="exact"/>
              <w:rPr>
                <w:sz w:val="20"/>
                <w:szCs w:val="20"/>
                <w:color w:val="auto"/>
              </w:rPr>
            </w:pPr>
            <w:r>
              <w:rPr>
                <w:rFonts w:ascii="Times New Roman" w:cs="Times New Roman" w:eastAsia="Times New Roman" w:hAnsi="Times New Roman"/>
                <w:sz w:val="18"/>
                <w:szCs w:val="18"/>
                <w:color w:val="auto"/>
              </w:rPr>
              <w:t>Equity</w:t>
            </w:r>
          </w:p>
        </w:tc>
        <w:tc>
          <w:tcPr>
            <w:tcW w:w="1220" w:type="dxa"/>
            <w:vAlign w:val="bottom"/>
          </w:tcPr>
          <w:p>
            <w:pPr>
              <w:jc w:val="right"/>
              <w:ind w:right="150"/>
              <w:spacing w:after="0" w:line="160" w:lineRule="exact"/>
              <w:rPr>
                <w:sz w:val="20"/>
                <w:szCs w:val="20"/>
                <w:color w:val="auto"/>
              </w:rPr>
            </w:pPr>
            <w:r>
              <w:rPr>
                <w:rFonts w:ascii="Times New Roman" w:cs="Times New Roman" w:eastAsia="Times New Roman" w:hAnsi="Times New Roman"/>
                <w:sz w:val="18"/>
                <w:szCs w:val="18"/>
                <w:color w:val="auto"/>
              </w:rPr>
              <w:t>Consumer</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22,584</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22,579</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20" w:type="dxa"/>
            <w:vAlign w:val="bottom"/>
          </w:tcPr>
          <w:p>
            <w:pPr>
              <w:spacing w:after="0"/>
              <w:rPr>
                <w:sz w:val="21"/>
                <w:szCs w:val="21"/>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real estate</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31,199</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30,393</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43"/>
        </w:trPr>
        <w:tc>
          <w:tcPr>
            <w:tcW w:w="20" w:type="dxa"/>
            <w:vAlign w:val="bottom"/>
          </w:tcPr>
          <w:p>
            <w:pPr>
              <w:spacing w:after="0"/>
              <w:rPr>
                <w:sz w:val="21"/>
                <w:szCs w:val="21"/>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61"/>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330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color w:val="auto"/>
              </w:rPr>
              <w:t>December 31, 2025</w:t>
            </w: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color w:val="auto"/>
              </w:rPr>
              <w:t>Residential</w:t>
            </w:r>
          </w:p>
        </w:tc>
        <w:tc>
          <w:tcPr>
            <w:tcW w:w="134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w w:val="98"/>
              </w:rPr>
              <w:t>Commercial</w:t>
            </w:r>
          </w:p>
        </w:tc>
        <w:tc>
          <w:tcPr>
            <w:tcW w:w="136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rPr>
              <w:t>Other</w:t>
            </w:r>
          </w:p>
        </w:tc>
        <w:tc>
          <w:tcPr>
            <w:tcW w:w="1340" w:type="dxa"/>
            <w:vAlign w:val="bottom"/>
            <w:gridSpan w:val="2"/>
          </w:tcPr>
          <w:p>
            <w:pPr>
              <w:ind w:left="380"/>
              <w:spacing w:after="0" w:line="182" w:lineRule="exact"/>
              <w:rPr>
                <w:sz w:val="20"/>
                <w:szCs w:val="20"/>
                <w:color w:val="auto"/>
              </w:rPr>
            </w:pPr>
            <w:r>
              <w:rPr>
                <w:rFonts w:ascii="Times New Roman" w:cs="Times New Roman" w:eastAsia="Times New Roman" w:hAnsi="Times New Roman"/>
                <w:sz w:val="18"/>
                <w:szCs w:val="18"/>
                <w:color w:val="auto"/>
              </w:rPr>
              <w:t>Home</w:t>
            </w:r>
          </w:p>
        </w:tc>
        <w:tc>
          <w:tcPr>
            <w:tcW w:w="122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rPr>
              <w:t>Other</w:t>
            </w:r>
          </w:p>
        </w:tc>
      </w:tr>
      <w:tr>
        <w:trPr>
          <w:trHeight w:val="189"/>
        </w:trPr>
        <w:tc>
          <w:tcPr>
            <w:tcW w:w="20" w:type="dxa"/>
            <w:vAlign w:val="bottom"/>
          </w:tcPr>
          <w:p>
            <w:pPr>
              <w:spacing w:after="0"/>
              <w:rPr>
                <w:sz w:val="16"/>
                <w:szCs w:val="16"/>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Pr>
          <w:p>
            <w:pPr>
              <w:spacing w:after="0"/>
              <w:rPr>
                <w:sz w:val="16"/>
                <w:szCs w:val="16"/>
                <w:color w:val="auto"/>
              </w:rPr>
            </w:pPr>
          </w:p>
        </w:tc>
        <w:tc>
          <w:tcPr>
            <w:tcW w:w="106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2"/>
          </w:tcPr>
          <w:p>
            <w:pPr>
              <w:ind w:left="200"/>
              <w:spacing w:after="0" w:line="169" w:lineRule="exact"/>
              <w:rPr>
                <w:sz w:val="20"/>
                <w:szCs w:val="20"/>
                <w:color w:val="auto"/>
              </w:rPr>
            </w:pPr>
            <w:r>
              <w:rPr>
                <w:rFonts w:ascii="Times New Roman" w:cs="Times New Roman" w:eastAsia="Times New Roman" w:hAnsi="Times New Roman"/>
                <w:sz w:val="18"/>
                <w:szCs w:val="18"/>
                <w:color w:val="auto"/>
              </w:rPr>
              <w:t>Real Estate</w:t>
            </w:r>
          </w:p>
        </w:tc>
        <w:tc>
          <w:tcPr>
            <w:tcW w:w="134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rPr>
              <w:t>Real Estate</w:t>
            </w:r>
          </w:p>
        </w:tc>
        <w:tc>
          <w:tcPr>
            <w:tcW w:w="136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rPr>
              <w:t>Commercial</w:t>
            </w:r>
          </w:p>
        </w:tc>
        <w:tc>
          <w:tcPr>
            <w:tcW w:w="1340" w:type="dxa"/>
            <w:vAlign w:val="bottom"/>
            <w:gridSpan w:val="2"/>
          </w:tcPr>
          <w:p>
            <w:pPr>
              <w:ind w:left="360"/>
              <w:spacing w:after="0" w:line="169" w:lineRule="exact"/>
              <w:rPr>
                <w:sz w:val="20"/>
                <w:szCs w:val="20"/>
                <w:color w:val="auto"/>
              </w:rPr>
            </w:pPr>
            <w:r>
              <w:rPr>
                <w:rFonts w:ascii="Times New Roman" w:cs="Times New Roman" w:eastAsia="Times New Roman" w:hAnsi="Times New Roman"/>
                <w:sz w:val="18"/>
                <w:szCs w:val="18"/>
                <w:color w:val="auto"/>
              </w:rPr>
              <w:t>Equity</w:t>
            </w:r>
          </w:p>
        </w:tc>
        <w:tc>
          <w:tcPr>
            <w:tcW w:w="12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Consumer</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21,741</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21,741</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real estate</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2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23,227</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22,328</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43"/>
        </w:trPr>
        <w:tc>
          <w:tcPr>
            <w:tcW w:w="20" w:type="dxa"/>
            <w:vAlign w:val="bottom"/>
          </w:tcPr>
          <w:p>
            <w:pPr>
              <w:spacing w:after="0"/>
              <w:rPr>
                <w:sz w:val="21"/>
                <w:szCs w:val="21"/>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62"/>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330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Modifications Made to Borrowers Experiencing Financial Difficulty</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disclosures for loan modifications made to borrowers experiencing financial difficulty (“MBFD”) are presented in the following tables and show the amortized cost basis at the end of the periods of the MBFDs by segment: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gridSpan w:val="11"/>
          </w:tcPr>
          <w:p>
            <w:pPr>
              <w:jc w:val="right"/>
              <w:ind w:right="130"/>
              <w:spacing w:after="0"/>
              <w:rPr>
                <w:sz w:val="20"/>
                <w:szCs w:val="20"/>
                <w:color w:val="auto"/>
              </w:rPr>
            </w:pPr>
            <w:r>
              <w:rPr>
                <w:rFonts w:ascii="Times New Roman" w:cs="Times New Roman" w:eastAsia="Times New Roman" w:hAnsi="Times New Roman"/>
                <w:sz w:val="18"/>
                <w:szCs w:val="18"/>
                <w:color w:val="auto"/>
              </w:rPr>
              <w:t>At or for the Three Months ended September 30, 2026</w:t>
            </w:r>
          </w:p>
        </w:tc>
        <w:tc>
          <w:tcPr>
            <w:tcW w:w="9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gridSpan w:val="7"/>
          </w:tcPr>
          <w:p>
            <w:pPr>
              <w:jc w:val="center"/>
              <w:ind w:right="160"/>
              <w:spacing w:after="0" w:line="182" w:lineRule="exact"/>
              <w:rPr>
                <w:sz w:val="20"/>
                <w:szCs w:val="20"/>
                <w:color w:val="auto"/>
              </w:rPr>
            </w:pPr>
            <w:r>
              <w:rPr>
                <w:rFonts w:ascii="Times New Roman" w:cs="Times New Roman" w:eastAsia="Times New Roman" w:hAnsi="Times New Roman"/>
                <w:sz w:val="18"/>
                <w:szCs w:val="18"/>
                <w:color w:val="auto"/>
                <w:w w:val="99"/>
              </w:rPr>
              <w:t>Term Extension and Payment</w:t>
            </w:r>
          </w:p>
        </w:tc>
        <w:tc>
          <w:tcPr>
            <w:tcW w:w="2460" w:type="dxa"/>
            <w:vAlign w:val="bottom"/>
            <w:gridSpan w:val="4"/>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w w:val="99"/>
              </w:rPr>
              <w:t>Combination - Term Extension</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9"/>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center"/>
              <w:ind w:left="650"/>
              <w:spacing w:after="0"/>
              <w:rPr>
                <w:sz w:val="20"/>
                <w:szCs w:val="20"/>
                <w:color w:val="auto"/>
              </w:rPr>
            </w:pPr>
            <w:r>
              <w:rPr>
                <w:rFonts w:ascii="Times New Roman" w:cs="Times New Roman" w:eastAsia="Times New Roman" w:hAnsi="Times New Roman"/>
                <w:sz w:val="18"/>
                <w:szCs w:val="18"/>
                <w:color w:val="auto"/>
                <w:w w:val="99"/>
              </w:rPr>
              <w:t>Deferral</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and Interest Rate Reduction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540" w:type="dxa"/>
            <w:vAlign w:val="bottom"/>
            <w:gridSpan w:val="6"/>
          </w:tcPr>
          <w:p>
            <w:pPr>
              <w:ind w:left="20"/>
              <w:spacing w:after="0" w:line="187" w:lineRule="exact"/>
              <w:rPr>
                <w:sz w:val="20"/>
                <w:szCs w:val="20"/>
                <w:color w:val="auto"/>
              </w:rPr>
            </w:pPr>
            <w:r>
              <w:rPr>
                <w:rFonts w:ascii="Times New Roman" w:cs="Times New Roman" w:eastAsia="Times New Roman" w:hAnsi="Times New Roman"/>
                <w:sz w:val="18"/>
                <w:szCs w:val="18"/>
                <w:color w:val="auto"/>
              </w:rPr>
              <w:t>Amortized Cost</w:t>
            </w:r>
          </w:p>
        </w:tc>
        <w:tc>
          <w:tcPr>
            <w:tcW w:w="1020" w:type="dxa"/>
            <w:vAlign w:val="bottom"/>
            <w:gridSpan w:val="2"/>
          </w:tcPr>
          <w:p>
            <w:pPr>
              <w:jc w:val="center"/>
              <w:ind w:right="260"/>
              <w:spacing w:after="0" w:line="187" w:lineRule="exact"/>
              <w:rPr>
                <w:sz w:val="20"/>
                <w:szCs w:val="20"/>
                <w:color w:val="auto"/>
              </w:rPr>
            </w:pPr>
            <w:r>
              <w:rPr>
                <w:rFonts w:ascii="Times New Roman" w:cs="Times New Roman" w:eastAsia="Times New Roman" w:hAnsi="Times New Roman"/>
                <w:sz w:val="18"/>
                <w:szCs w:val="18"/>
                <w:color w:val="auto"/>
                <w:w w:val="98"/>
              </w:rPr>
              <w:t>% of Total</w:t>
            </w:r>
          </w:p>
        </w:tc>
        <w:tc>
          <w:tcPr>
            <w:tcW w:w="118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8"/>
                <w:szCs w:val="18"/>
                <w:color w:val="auto"/>
                <w:w w:val="99"/>
              </w:rPr>
              <w:t>Amortized Cost</w:t>
            </w:r>
          </w:p>
        </w:tc>
        <w:tc>
          <w:tcPr>
            <w:tcW w:w="1280" w:type="dxa"/>
            <w:vAlign w:val="bottom"/>
            <w:gridSpan w:val="2"/>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 of Total</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4"/>
          </w:tcPr>
          <w:p>
            <w:pPr>
              <w:ind w:left="200"/>
              <w:spacing w:after="0" w:line="169" w:lineRule="exact"/>
              <w:rPr>
                <w:sz w:val="20"/>
                <w:szCs w:val="20"/>
                <w:color w:val="auto"/>
              </w:rPr>
            </w:pPr>
            <w:r>
              <w:rPr>
                <w:rFonts w:ascii="Times New Roman" w:cs="Times New Roman" w:eastAsia="Times New Roman" w:hAnsi="Times New Roman"/>
                <w:sz w:val="18"/>
                <w:szCs w:val="18"/>
                <w:color w:val="auto"/>
              </w:rPr>
              <w:t>Basis</w:t>
            </w:r>
          </w:p>
        </w:tc>
        <w:tc>
          <w:tcPr>
            <w:tcW w:w="10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w w:val="97"/>
              </w:rPr>
              <w:t>Class</w:t>
            </w:r>
          </w:p>
        </w:tc>
        <w:tc>
          <w:tcPr>
            <w:tcW w:w="140" w:type="dxa"/>
            <w:vAlign w:val="bottom"/>
          </w:tcPr>
          <w:p>
            <w:pPr>
              <w:spacing w:after="0"/>
              <w:rPr>
                <w:sz w:val="16"/>
                <w:szCs w:val="16"/>
                <w:color w:val="auto"/>
              </w:rPr>
            </w:pPr>
          </w:p>
        </w:tc>
        <w:tc>
          <w:tcPr>
            <w:tcW w:w="104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Basis</w:t>
            </w:r>
          </w:p>
        </w:tc>
        <w:tc>
          <w:tcPr>
            <w:tcW w:w="128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rPr>
              <w:t>Class</w:t>
            </w:r>
          </w:p>
        </w:tc>
        <w:tc>
          <w:tcPr>
            <w:tcW w:w="260" w:type="dxa"/>
            <w:vAlign w:val="bottom"/>
          </w:tcPr>
          <w:p>
            <w:pPr>
              <w:spacing w:after="0"/>
              <w:rPr>
                <w:sz w:val="16"/>
                <w:szCs w:val="16"/>
                <w:color w:val="auto"/>
              </w:rPr>
            </w:pPr>
          </w:p>
        </w:tc>
        <w:tc>
          <w:tcPr>
            <w:tcW w:w="92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43"/>
        </w:trPr>
        <w:tc>
          <w:tcPr>
            <w:tcW w:w="20" w:type="dxa"/>
            <w:vAlign w:val="bottom"/>
            <w:tcBorders>
              <w:bottom w:val="single" w:sz="8" w:color="CCEEFF"/>
            </w:tcBorders>
          </w:tcPr>
          <w:p>
            <w:pPr>
              <w:spacing w:after="0"/>
              <w:rPr>
                <w:sz w:val="21"/>
                <w:szCs w:val="21"/>
                <w:color w:val="auto"/>
              </w:rPr>
            </w:pPr>
          </w:p>
        </w:tc>
        <w:tc>
          <w:tcPr>
            <w:tcW w:w="5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commercial</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5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gridSpan w:val="11"/>
          </w:tcPr>
          <w:p>
            <w:pPr>
              <w:jc w:val="right"/>
              <w:ind w:right="90"/>
              <w:spacing w:after="0"/>
              <w:rPr>
                <w:sz w:val="20"/>
                <w:szCs w:val="20"/>
                <w:color w:val="auto"/>
              </w:rPr>
            </w:pPr>
            <w:r>
              <w:rPr>
                <w:rFonts w:ascii="Times New Roman" w:cs="Times New Roman" w:eastAsia="Times New Roman" w:hAnsi="Times New Roman"/>
                <w:sz w:val="18"/>
                <w:szCs w:val="18"/>
                <w:color w:val="auto"/>
              </w:rPr>
              <w:t>At or for the Three Months ended September 30, 2025</w:t>
            </w:r>
          </w:p>
        </w:tc>
        <w:tc>
          <w:tcPr>
            <w:tcW w:w="920" w:type="dxa"/>
            <w:vAlign w:val="bottom"/>
            <w:tcBorders>
              <w:bottom w:val="single" w:sz="8" w:color="auto"/>
            </w:tcBorders>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6"/>
          </w:tcPr>
          <w:p>
            <w:pPr>
              <w:ind w:left="20"/>
              <w:spacing w:after="0" w:line="191" w:lineRule="exact"/>
              <w:rPr>
                <w:sz w:val="20"/>
                <w:szCs w:val="20"/>
                <w:color w:val="auto"/>
              </w:rPr>
            </w:pPr>
            <w:r>
              <w:rPr>
                <w:rFonts w:ascii="Times New Roman" w:cs="Times New Roman" w:eastAsia="Times New Roman" w:hAnsi="Times New Roman"/>
                <w:sz w:val="18"/>
                <w:szCs w:val="18"/>
                <w:color w:val="auto"/>
              </w:rPr>
              <w:t>Term Extension and Payment</w:t>
            </w:r>
          </w:p>
        </w:tc>
        <w:tc>
          <w:tcPr>
            <w:tcW w:w="2460" w:type="dxa"/>
            <w:vAlign w:val="bottom"/>
            <w:gridSpan w:val="4"/>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w w:val="99"/>
              </w:rPr>
              <w:t>Combination - Term Extension</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790"/>
              <w:spacing w:after="0"/>
              <w:rPr>
                <w:sz w:val="20"/>
                <w:szCs w:val="20"/>
                <w:color w:val="auto"/>
              </w:rPr>
            </w:pPr>
            <w:r>
              <w:rPr>
                <w:rFonts w:ascii="Times New Roman" w:cs="Times New Roman" w:eastAsia="Times New Roman" w:hAnsi="Times New Roman"/>
                <w:sz w:val="18"/>
                <w:szCs w:val="18"/>
                <w:color w:val="auto"/>
              </w:rPr>
              <w:t>Deferral</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and Interest Rate Reduction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5"/>
          </w:tcPr>
          <w:p>
            <w:pPr>
              <w:ind w:left="20"/>
              <w:spacing w:after="0" w:line="191" w:lineRule="exact"/>
              <w:rPr>
                <w:sz w:val="20"/>
                <w:szCs w:val="20"/>
                <w:color w:val="auto"/>
              </w:rPr>
            </w:pPr>
            <w:r>
              <w:rPr>
                <w:rFonts w:ascii="Times New Roman" w:cs="Times New Roman" w:eastAsia="Times New Roman" w:hAnsi="Times New Roman"/>
                <w:sz w:val="18"/>
                <w:szCs w:val="18"/>
                <w:color w:val="auto"/>
              </w:rPr>
              <w:t>Amortized Cost</w:t>
            </w:r>
          </w:p>
        </w:tc>
        <w:tc>
          <w:tcPr>
            <w:tcW w:w="102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8"/>
              </w:rPr>
              <w:t>% of Total</w:t>
            </w:r>
          </w:p>
        </w:tc>
        <w:tc>
          <w:tcPr>
            <w:tcW w:w="118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w w:val="99"/>
              </w:rPr>
              <w:t>Amortized Cost</w:t>
            </w:r>
          </w:p>
        </w:tc>
        <w:tc>
          <w:tcPr>
            <w:tcW w:w="128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 of Total</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4"/>
          </w:tcPr>
          <w:p>
            <w:pPr>
              <w:ind w:left="280"/>
              <w:spacing w:after="0" w:line="160" w:lineRule="exact"/>
              <w:rPr>
                <w:sz w:val="20"/>
                <w:szCs w:val="20"/>
                <w:color w:val="auto"/>
              </w:rPr>
            </w:pPr>
            <w:r>
              <w:rPr>
                <w:rFonts w:ascii="Times New Roman" w:cs="Times New Roman" w:eastAsia="Times New Roman" w:hAnsi="Times New Roman"/>
                <w:sz w:val="18"/>
                <w:szCs w:val="18"/>
                <w:color w:val="auto"/>
              </w:rPr>
              <w:t>Basis</w:t>
            </w:r>
          </w:p>
        </w:tc>
        <w:tc>
          <w:tcPr>
            <w:tcW w:w="10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8"/>
                <w:szCs w:val="18"/>
                <w:color w:val="auto"/>
                <w:w w:val="97"/>
              </w:rPr>
              <w:t>Class</w:t>
            </w:r>
          </w:p>
        </w:tc>
        <w:tc>
          <w:tcPr>
            <w:tcW w:w="140" w:type="dxa"/>
            <w:vAlign w:val="bottom"/>
          </w:tcPr>
          <w:p>
            <w:pPr>
              <w:spacing w:after="0"/>
              <w:rPr>
                <w:sz w:val="15"/>
                <w:szCs w:val="15"/>
                <w:color w:val="auto"/>
              </w:rPr>
            </w:pPr>
          </w:p>
        </w:tc>
        <w:tc>
          <w:tcPr>
            <w:tcW w:w="1040" w:type="dxa"/>
            <w:vAlign w:val="bottom"/>
          </w:tcPr>
          <w:p>
            <w:pPr>
              <w:jc w:val="right"/>
              <w:ind w:right="310"/>
              <w:spacing w:after="0" w:line="160" w:lineRule="exact"/>
              <w:rPr>
                <w:sz w:val="20"/>
                <w:szCs w:val="20"/>
                <w:color w:val="auto"/>
              </w:rPr>
            </w:pPr>
            <w:r>
              <w:rPr>
                <w:rFonts w:ascii="Times New Roman" w:cs="Times New Roman" w:eastAsia="Times New Roman" w:hAnsi="Times New Roman"/>
                <w:sz w:val="18"/>
                <w:szCs w:val="18"/>
                <w:color w:val="auto"/>
              </w:rPr>
              <w:t>Basis</w:t>
            </w:r>
          </w:p>
        </w:tc>
        <w:tc>
          <w:tcPr>
            <w:tcW w:w="12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8"/>
                <w:szCs w:val="18"/>
                <w:color w:val="auto"/>
              </w:rPr>
              <w:t>Class</w:t>
            </w:r>
          </w:p>
        </w:tc>
        <w:tc>
          <w:tcPr>
            <w:tcW w:w="260" w:type="dxa"/>
            <w:vAlign w:val="bottom"/>
          </w:tcPr>
          <w:p>
            <w:pPr>
              <w:spacing w:after="0"/>
              <w:rPr>
                <w:sz w:val="15"/>
                <w:szCs w:val="15"/>
                <w:color w:val="auto"/>
              </w:rPr>
            </w:pPr>
          </w:p>
        </w:tc>
        <w:tc>
          <w:tcPr>
            <w:tcW w:w="920" w:type="dxa"/>
            <w:vAlign w:val="bottom"/>
          </w:tcPr>
          <w:p>
            <w:pPr>
              <w:jc w:val="right"/>
              <w:ind w:right="310"/>
              <w:spacing w:after="0" w:line="160" w:lineRule="exact"/>
              <w:rPr>
                <w:sz w:val="20"/>
                <w:szCs w:val="20"/>
                <w:color w:val="auto"/>
              </w:rPr>
            </w:pPr>
            <w:r>
              <w:rPr>
                <w:rFonts w:ascii="Times New Roman" w:cs="Times New Roman" w:eastAsia="Times New Roman" w:hAnsi="Times New Roman"/>
                <w:sz w:val="18"/>
                <w:szCs w:val="18"/>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43"/>
        </w:trPr>
        <w:tc>
          <w:tcPr>
            <w:tcW w:w="20" w:type="dxa"/>
            <w:vAlign w:val="bottom"/>
            <w:tcBorders>
              <w:bottom w:val="single" w:sz="8" w:color="CCEEFF"/>
            </w:tcBorders>
          </w:tcPr>
          <w:p>
            <w:pPr>
              <w:spacing w:after="0"/>
              <w:rPr>
                <w:sz w:val="21"/>
                <w:szCs w:val="21"/>
                <w:color w:val="auto"/>
              </w:rPr>
            </w:pPr>
          </w:p>
        </w:tc>
        <w:tc>
          <w:tcPr>
            <w:tcW w:w="5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commercial</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8,664</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8,664</w:t>
            </w:r>
          </w:p>
        </w:tc>
      </w:tr>
      <w:tr>
        <w:trPr>
          <w:trHeight w:val="257"/>
        </w:trPr>
        <w:tc>
          <w:tcPr>
            <w:tcW w:w="20" w:type="dxa"/>
            <w:vAlign w:val="bottom"/>
            <w:shd w:val="clear" w:color="auto" w:fill="CCEEFF"/>
          </w:tcPr>
          <w:p>
            <w:pPr>
              <w:spacing w:after="0"/>
              <w:rPr>
                <w:sz w:val="22"/>
                <w:szCs w:val="22"/>
                <w:color w:val="auto"/>
              </w:rPr>
            </w:pPr>
          </w:p>
        </w:tc>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8,664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960"/>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gridSpan w:val="9"/>
          </w:tcPr>
          <w:p>
            <w:pPr>
              <w:jc w:val="center"/>
              <w:ind w:left="710"/>
              <w:spacing w:after="0"/>
              <w:rPr>
                <w:sz w:val="20"/>
                <w:szCs w:val="20"/>
                <w:color w:val="auto"/>
              </w:rPr>
            </w:pPr>
            <w:r>
              <w:rPr>
                <w:rFonts w:ascii="Times New Roman" w:cs="Times New Roman" w:eastAsia="Times New Roman" w:hAnsi="Times New Roman"/>
                <w:sz w:val="18"/>
                <w:szCs w:val="18"/>
                <w:color w:val="auto"/>
                <w:w w:val="99"/>
              </w:rPr>
              <w:t>At or for the Nine Months ended September 30, 2026</w:t>
            </w:r>
          </w:p>
        </w:tc>
        <w:tc>
          <w:tcPr>
            <w:tcW w:w="9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4"/>
          </w:tcPr>
          <w:p>
            <w:pPr>
              <w:jc w:val="center"/>
              <w:ind w:right="200"/>
              <w:spacing w:after="0" w:line="182" w:lineRule="exact"/>
              <w:rPr>
                <w:sz w:val="20"/>
                <w:szCs w:val="20"/>
                <w:color w:val="auto"/>
              </w:rPr>
            </w:pPr>
            <w:r>
              <w:rPr>
                <w:rFonts w:ascii="Times New Roman" w:cs="Times New Roman" w:eastAsia="Times New Roman" w:hAnsi="Times New Roman"/>
                <w:sz w:val="18"/>
                <w:szCs w:val="18"/>
                <w:color w:val="auto"/>
                <w:w w:val="99"/>
              </w:rPr>
              <w:t>Term Extension and Payment</w:t>
            </w:r>
          </w:p>
        </w:tc>
        <w:tc>
          <w:tcPr>
            <w:tcW w:w="2460" w:type="dxa"/>
            <w:vAlign w:val="bottom"/>
            <w:gridSpan w:val="4"/>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w w:val="99"/>
              </w:rPr>
              <w:t>Combination - Term Extension</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9"/>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color w:val="auto"/>
                <w:w w:val="99"/>
              </w:rPr>
              <w:t>Deferral</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and Interest Rate Reduction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8"/>
                <w:szCs w:val="18"/>
                <w:color w:val="auto"/>
              </w:rPr>
              <w:t>Amortized Cost</w:t>
            </w:r>
          </w:p>
        </w:tc>
        <w:tc>
          <w:tcPr>
            <w:tcW w:w="80" w:type="dxa"/>
            <w:vAlign w:val="bottom"/>
          </w:tcPr>
          <w:p>
            <w:pPr>
              <w:spacing w:after="0"/>
              <w:rPr>
                <w:sz w:val="16"/>
                <w:szCs w:val="16"/>
                <w:color w:val="auto"/>
              </w:rPr>
            </w:pPr>
          </w:p>
        </w:tc>
        <w:tc>
          <w:tcPr>
            <w:tcW w:w="1200" w:type="dxa"/>
            <w:vAlign w:val="bottom"/>
            <w:gridSpan w:val="2"/>
          </w:tcPr>
          <w:p>
            <w:pPr>
              <w:jc w:val="center"/>
              <w:ind w:right="80"/>
              <w:spacing w:after="0" w:line="187" w:lineRule="exact"/>
              <w:rPr>
                <w:sz w:val="20"/>
                <w:szCs w:val="20"/>
                <w:color w:val="auto"/>
              </w:rPr>
            </w:pPr>
            <w:r>
              <w:rPr>
                <w:rFonts w:ascii="Times New Roman" w:cs="Times New Roman" w:eastAsia="Times New Roman" w:hAnsi="Times New Roman"/>
                <w:sz w:val="18"/>
                <w:szCs w:val="18"/>
                <w:color w:val="auto"/>
                <w:w w:val="98"/>
              </w:rPr>
              <w:t>% of Total</w:t>
            </w:r>
          </w:p>
        </w:tc>
        <w:tc>
          <w:tcPr>
            <w:tcW w:w="118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8"/>
                <w:szCs w:val="18"/>
                <w:color w:val="auto"/>
                <w:w w:val="99"/>
              </w:rPr>
              <w:t>Amortized Cost</w:t>
            </w:r>
          </w:p>
        </w:tc>
        <w:tc>
          <w:tcPr>
            <w:tcW w:w="1280" w:type="dxa"/>
            <w:vAlign w:val="bottom"/>
            <w:gridSpan w:val="2"/>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 of Total</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6"/>
                <w:szCs w:val="16"/>
                <w:color w:val="auto"/>
              </w:rPr>
            </w:pPr>
          </w:p>
        </w:tc>
        <w:tc>
          <w:tcPr>
            <w:tcW w:w="108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Basis</w:t>
            </w:r>
          </w:p>
        </w:tc>
        <w:tc>
          <w:tcPr>
            <w:tcW w:w="80" w:type="dxa"/>
            <w:vAlign w:val="bottom"/>
          </w:tcPr>
          <w:p>
            <w:pPr>
              <w:spacing w:after="0"/>
              <w:rPr>
                <w:sz w:val="16"/>
                <w:szCs w:val="16"/>
                <w:color w:val="auto"/>
              </w:rPr>
            </w:pPr>
          </w:p>
        </w:tc>
        <w:tc>
          <w:tcPr>
            <w:tcW w:w="120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7"/>
              </w:rPr>
              <w:t>Class</w:t>
            </w:r>
          </w:p>
        </w:tc>
        <w:tc>
          <w:tcPr>
            <w:tcW w:w="140" w:type="dxa"/>
            <w:vAlign w:val="bottom"/>
          </w:tcPr>
          <w:p>
            <w:pPr>
              <w:spacing w:after="0"/>
              <w:rPr>
                <w:sz w:val="16"/>
                <w:szCs w:val="16"/>
                <w:color w:val="auto"/>
              </w:rPr>
            </w:pPr>
          </w:p>
        </w:tc>
        <w:tc>
          <w:tcPr>
            <w:tcW w:w="10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7"/>
              </w:rPr>
              <w:t>Basis</w:t>
            </w:r>
          </w:p>
        </w:tc>
        <w:tc>
          <w:tcPr>
            <w:tcW w:w="128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rPr>
              <w:t>Class</w:t>
            </w:r>
          </w:p>
        </w:tc>
        <w:tc>
          <w:tcPr>
            <w:tcW w:w="260" w:type="dxa"/>
            <w:vAlign w:val="bottom"/>
          </w:tcPr>
          <w:p>
            <w:pPr>
              <w:spacing w:after="0"/>
              <w:rPr>
                <w:sz w:val="16"/>
                <w:szCs w:val="16"/>
                <w:color w:val="auto"/>
              </w:rPr>
            </w:pPr>
          </w:p>
        </w:tc>
        <w:tc>
          <w:tcPr>
            <w:tcW w:w="92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real estate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2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43"/>
        </w:trPr>
        <w:tc>
          <w:tcPr>
            <w:tcW w:w="20" w:type="dxa"/>
            <w:vAlign w:val="bottom"/>
          </w:tcPr>
          <w:p>
            <w:pPr>
              <w:spacing w:after="0"/>
              <w:rPr>
                <w:sz w:val="21"/>
                <w:szCs w:val="21"/>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w:t>
            </w:r>
          </w:p>
        </w:tc>
      </w:tr>
      <w:tr>
        <w:trPr>
          <w:trHeight w:val="243"/>
        </w:trPr>
        <w:tc>
          <w:tcPr>
            <w:tcW w:w="20" w:type="dxa"/>
            <w:vAlign w:val="bottom"/>
            <w:shd w:val="clear" w:color="auto" w:fill="CCEEFF"/>
          </w:tcPr>
          <w:p>
            <w:pPr>
              <w:spacing w:after="0"/>
              <w:rPr>
                <w:sz w:val="21"/>
                <w:szCs w:val="21"/>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w:t>
            </w: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r>
      <w:tr>
        <w:trPr>
          <w:trHeight w:val="237"/>
        </w:trPr>
        <w:tc>
          <w:tcPr>
            <w:tcW w:w="20" w:type="dxa"/>
            <w:vAlign w:val="bottom"/>
          </w:tcPr>
          <w:p>
            <w:pPr>
              <w:spacing w:after="0"/>
              <w:rPr>
                <w:sz w:val="20"/>
                <w:szCs w:val="20"/>
                <w:color w:val="auto"/>
              </w:rPr>
            </w:pPr>
          </w:p>
        </w:tc>
        <w:tc>
          <w:tcPr>
            <w:tcW w:w="5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16,676</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17,543</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gridSpan w:val="9"/>
          </w:tcPr>
          <w:p>
            <w:pPr>
              <w:jc w:val="center"/>
              <w:ind w:left="710"/>
              <w:spacing w:after="0"/>
              <w:rPr>
                <w:sz w:val="20"/>
                <w:szCs w:val="20"/>
                <w:color w:val="auto"/>
              </w:rPr>
            </w:pPr>
            <w:r>
              <w:rPr>
                <w:rFonts w:ascii="Times New Roman" w:cs="Times New Roman" w:eastAsia="Times New Roman" w:hAnsi="Times New Roman"/>
                <w:sz w:val="18"/>
                <w:szCs w:val="18"/>
                <w:color w:val="auto"/>
                <w:w w:val="99"/>
              </w:rPr>
              <w:t>At or for the Nine Months ended September 30, 2025</w:t>
            </w:r>
          </w:p>
        </w:tc>
        <w:tc>
          <w:tcPr>
            <w:tcW w:w="920" w:type="dxa"/>
            <w:vAlign w:val="bottom"/>
            <w:tcBorders>
              <w:bottom w:val="single" w:sz="8" w:color="auto"/>
            </w:tcBorders>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4"/>
          </w:tcPr>
          <w:p>
            <w:pPr>
              <w:jc w:val="center"/>
              <w:ind w:right="200"/>
              <w:spacing w:after="0" w:line="182" w:lineRule="exact"/>
              <w:rPr>
                <w:sz w:val="20"/>
                <w:szCs w:val="20"/>
                <w:color w:val="auto"/>
              </w:rPr>
            </w:pPr>
            <w:r>
              <w:rPr>
                <w:rFonts w:ascii="Times New Roman" w:cs="Times New Roman" w:eastAsia="Times New Roman" w:hAnsi="Times New Roman"/>
                <w:sz w:val="18"/>
                <w:szCs w:val="18"/>
                <w:color w:val="auto"/>
                <w:w w:val="99"/>
              </w:rPr>
              <w:t>Term Extension and Payment</w:t>
            </w:r>
          </w:p>
        </w:tc>
        <w:tc>
          <w:tcPr>
            <w:tcW w:w="2460" w:type="dxa"/>
            <w:vAlign w:val="bottom"/>
            <w:gridSpan w:val="4"/>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w w:val="99"/>
              </w:rPr>
              <w:t>Combination - Term Extension</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9"/>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color w:val="auto"/>
                <w:w w:val="99"/>
              </w:rPr>
              <w:t>Deferral</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and Interest Rate Reduction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8"/>
                <w:szCs w:val="18"/>
                <w:color w:val="auto"/>
              </w:rPr>
              <w:t>Amortized Cost</w:t>
            </w:r>
          </w:p>
        </w:tc>
        <w:tc>
          <w:tcPr>
            <w:tcW w:w="80" w:type="dxa"/>
            <w:vAlign w:val="bottom"/>
          </w:tcPr>
          <w:p>
            <w:pPr>
              <w:spacing w:after="0"/>
              <w:rPr>
                <w:sz w:val="16"/>
                <w:szCs w:val="16"/>
                <w:color w:val="auto"/>
              </w:rPr>
            </w:pPr>
          </w:p>
        </w:tc>
        <w:tc>
          <w:tcPr>
            <w:tcW w:w="1200" w:type="dxa"/>
            <w:vAlign w:val="bottom"/>
            <w:gridSpan w:val="2"/>
          </w:tcPr>
          <w:p>
            <w:pPr>
              <w:jc w:val="center"/>
              <w:ind w:right="80"/>
              <w:spacing w:after="0" w:line="187" w:lineRule="exact"/>
              <w:rPr>
                <w:sz w:val="20"/>
                <w:szCs w:val="20"/>
                <w:color w:val="auto"/>
              </w:rPr>
            </w:pPr>
            <w:r>
              <w:rPr>
                <w:rFonts w:ascii="Times New Roman" w:cs="Times New Roman" w:eastAsia="Times New Roman" w:hAnsi="Times New Roman"/>
                <w:sz w:val="18"/>
                <w:szCs w:val="18"/>
                <w:color w:val="auto"/>
                <w:w w:val="98"/>
              </w:rPr>
              <w:t>% of Total</w:t>
            </w:r>
          </w:p>
        </w:tc>
        <w:tc>
          <w:tcPr>
            <w:tcW w:w="118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8"/>
                <w:szCs w:val="18"/>
                <w:color w:val="auto"/>
                <w:w w:val="99"/>
              </w:rPr>
              <w:t>Amortized Cost</w:t>
            </w:r>
          </w:p>
        </w:tc>
        <w:tc>
          <w:tcPr>
            <w:tcW w:w="1280" w:type="dxa"/>
            <w:vAlign w:val="bottom"/>
            <w:gridSpan w:val="2"/>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 of Total</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6"/>
                <w:szCs w:val="16"/>
                <w:color w:val="auto"/>
              </w:rPr>
            </w:pPr>
          </w:p>
        </w:tc>
        <w:tc>
          <w:tcPr>
            <w:tcW w:w="108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Basis</w:t>
            </w:r>
          </w:p>
        </w:tc>
        <w:tc>
          <w:tcPr>
            <w:tcW w:w="80" w:type="dxa"/>
            <w:vAlign w:val="bottom"/>
          </w:tcPr>
          <w:p>
            <w:pPr>
              <w:spacing w:after="0"/>
              <w:rPr>
                <w:sz w:val="16"/>
                <w:szCs w:val="16"/>
                <w:color w:val="auto"/>
              </w:rPr>
            </w:pPr>
          </w:p>
        </w:tc>
        <w:tc>
          <w:tcPr>
            <w:tcW w:w="120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7"/>
              </w:rPr>
              <w:t>Class</w:t>
            </w:r>
          </w:p>
        </w:tc>
        <w:tc>
          <w:tcPr>
            <w:tcW w:w="140" w:type="dxa"/>
            <w:vAlign w:val="bottom"/>
          </w:tcPr>
          <w:p>
            <w:pPr>
              <w:spacing w:after="0"/>
              <w:rPr>
                <w:sz w:val="16"/>
                <w:szCs w:val="16"/>
                <w:color w:val="auto"/>
              </w:rPr>
            </w:pPr>
          </w:p>
        </w:tc>
        <w:tc>
          <w:tcPr>
            <w:tcW w:w="10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7"/>
              </w:rPr>
              <w:t>Basis</w:t>
            </w:r>
          </w:p>
        </w:tc>
        <w:tc>
          <w:tcPr>
            <w:tcW w:w="128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rPr>
              <w:t>Class</w:t>
            </w:r>
          </w:p>
        </w:tc>
        <w:tc>
          <w:tcPr>
            <w:tcW w:w="260" w:type="dxa"/>
            <w:vAlign w:val="bottom"/>
          </w:tcPr>
          <w:p>
            <w:pPr>
              <w:spacing w:after="0"/>
              <w:rPr>
                <w:sz w:val="16"/>
                <w:szCs w:val="16"/>
                <w:color w:val="auto"/>
              </w:rPr>
            </w:pPr>
          </w:p>
        </w:tc>
        <w:tc>
          <w:tcPr>
            <w:tcW w:w="92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r>
      <w:tr>
        <w:trPr>
          <w:trHeight w:val="243"/>
        </w:trPr>
        <w:tc>
          <w:tcPr>
            <w:tcW w:w="20" w:type="dxa"/>
            <w:vAlign w:val="bottom"/>
            <w:tcBorders>
              <w:bottom w:val="single" w:sz="8" w:color="CCEEFF"/>
            </w:tcBorders>
          </w:tcPr>
          <w:p>
            <w:pPr>
              <w:spacing w:after="0"/>
              <w:rPr>
                <w:sz w:val="21"/>
                <w:szCs w:val="21"/>
                <w:color w:val="auto"/>
              </w:rPr>
            </w:pPr>
          </w:p>
        </w:tc>
        <w:tc>
          <w:tcPr>
            <w:tcW w:w="5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commercial</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80" w:type="dxa"/>
            <w:vAlign w:val="bottom"/>
            <w:tcBorders>
              <w:bottom w:val="single" w:sz="8" w:color="CCEEFF"/>
            </w:tcBorders>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9,164</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51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16,828</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describe the financial effect of the modifications made to borrowers experiencing financial difficulty by segment: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4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At or for the Three Months ended</w:t>
            </w:r>
          </w:p>
        </w:tc>
      </w:tr>
      <w:tr>
        <w:trPr>
          <w:trHeight w:val="234"/>
        </w:trPr>
        <w:tc>
          <w:tcPr>
            <w:tcW w:w="6440" w:type="dxa"/>
            <w:vAlign w:val="bottom"/>
          </w:tcPr>
          <w:p>
            <w:pPr>
              <w:spacing w:after="0"/>
              <w:rPr>
                <w:sz w:val="20"/>
                <w:szCs w:val="20"/>
                <w:color w:val="auto"/>
              </w:rPr>
            </w:pPr>
          </w:p>
        </w:tc>
        <w:tc>
          <w:tcPr>
            <w:tcW w:w="4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September 30, 2026</w:t>
            </w:r>
          </w:p>
        </w:tc>
      </w:tr>
      <w:tr>
        <w:trPr>
          <w:trHeight w:val="191"/>
        </w:trPr>
        <w:tc>
          <w:tcPr>
            <w:tcW w:w="6440" w:type="dxa"/>
            <w:vAlign w:val="bottom"/>
          </w:tcPr>
          <w:p>
            <w:pPr>
              <w:spacing w:after="0"/>
              <w:rPr>
                <w:sz w:val="16"/>
                <w:szCs w:val="16"/>
                <w:color w:val="auto"/>
              </w:rPr>
            </w:pPr>
          </w:p>
        </w:tc>
        <w:tc>
          <w:tcPr>
            <w:tcW w:w="2460" w:type="dxa"/>
            <w:vAlign w:val="bottom"/>
            <w:gridSpan w:val="2"/>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w w:val="98"/>
              </w:rPr>
              <w:t>Weighted Average Interest Rate</w:t>
            </w:r>
          </w:p>
        </w:tc>
        <w:tc>
          <w:tcPr>
            <w:tcW w:w="23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Weighted Average Term</w:t>
            </w:r>
          </w:p>
        </w:tc>
      </w:tr>
      <w:tr>
        <w:trPr>
          <w:trHeight w:val="234"/>
        </w:trPr>
        <w:tc>
          <w:tcPr>
            <w:tcW w:w="644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Reduction</w:t>
            </w:r>
          </w:p>
        </w:tc>
        <w:tc>
          <w:tcPr>
            <w:tcW w:w="100" w:type="dxa"/>
            <w:vAlign w:val="bottom"/>
            <w:tcBorders>
              <w:bottom w:val="single" w:sz="8" w:color="CCEEFF"/>
            </w:tcBorders>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Extension</w:t>
            </w:r>
          </w:p>
        </w:tc>
      </w:tr>
      <w:tr>
        <w:trPr>
          <w:trHeight w:val="23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 months</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commercial</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 months</w:t>
            </w:r>
          </w:p>
        </w:tc>
      </w:tr>
      <w:tr>
        <w:trPr>
          <w:trHeight w:val="553"/>
        </w:trPr>
        <w:tc>
          <w:tcPr>
            <w:tcW w:w="6440" w:type="dxa"/>
            <w:vAlign w:val="bottom"/>
          </w:tcPr>
          <w:p>
            <w:pPr>
              <w:spacing w:after="0"/>
              <w:rPr>
                <w:sz w:val="24"/>
                <w:szCs w:val="24"/>
                <w:color w:val="auto"/>
              </w:rPr>
            </w:pPr>
          </w:p>
        </w:tc>
        <w:tc>
          <w:tcPr>
            <w:tcW w:w="4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At or for the Three Months ended</w:t>
            </w:r>
          </w:p>
        </w:tc>
      </w:tr>
      <w:tr>
        <w:trPr>
          <w:trHeight w:val="239"/>
        </w:trPr>
        <w:tc>
          <w:tcPr>
            <w:tcW w:w="6440" w:type="dxa"/>
            <w:vAlign w:val="bottom"/>
          </w:tcPr>
          <w:p>
            <w:pPr>
              <w:spacing w:after="0"/>
              <w:rPr>
                <w:sz w:val="20"/>
                <w:szCs w:val="20"/>
                <w:color w:val="auto"/>
              </w:rPr>
            </w:pPr>
          </w:p>
        </w:tc>
        <w:tc>
          <w:tcPr>
            <w:tcW w:w="4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September 30, 2025</w:t>
            </w:r>
          </w:p>
        </w:tc>
      </w:tr>
      <w:tr>
        <w:trPr>
          <w:trHeight w:val="187"/>
        </w:trPr>
        <w:tc>
          <w:tcPr>
            <w:tcW w:w="6440" w:type="dxa"/>
            <w:vAlign w:val="bottom"/>
          </w:tcPr>
          <w:p>
            <w:pPr>
              <w:spacing w:after="0"/>
              <w:rPr>
                <w:sz w:val="16"/>
                <w:szCs w:val="16"/>
                <w:color w:val="auto"/>
              </w:rPr>
            </w:pPr>
          </w:p>
        </w:tc>
        <w:tc>
          <w:tcPr>
            <w:tcW w:w="2460" w:type="dxa"/>
            <w:vAlign w:val="bottom"/>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8"/>
              </w:rPr>
              <w:t>Weighted Average Interest Rate</w:t>
            </w:r>
          </w:p>
        </w:tc>
        <w:tc>
          <w:tcPr>
            <w:tcW w:w="23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Weighted Average Term</w:t>
            </w:r>
          </w:p>
        </w:tc>
      </w:tr>
      <w:tr>
        <w:trPr>
          <w:trHeight w:val="239"/>
        </w:trPr>
        <w:tc>
          <w:tcPr>
            <w:tcW w:w="6440" w:type="dxa"/>
            <w:vAlign w:val="bottom"/>
          </w:tcPr>
          <w:p>
            <w:pPr>
              <w:spacing w:after="0"/>
              <w:rPr>
                <w:sz w:val="20"/>
                <w:szCs w:val="20"/>
                <w:color w:val="auto"/>
              </w:rPr>
            </w:pPr>
          </w:p>
        </w:tc>
        <w:tc>
          <w:tcPr>
            <w:tcW w:w="2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Reduction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Extension</w:t>
            </w:r>
          </w:p>
        </w:tc>
      </w:tr>
      <w:tr>
        <w:trPr>
          <w:trHeight w:val="241"/>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top w:val="single" w:sz="8" w:color="CCEEFF"/>
            </w:tcBorders>
            <w:shd w:val="clear" w:color="auto" w:fill="CCEEFF"/>
          </w:tcPr>
          <w:p>
            <w:pPr>
              <w:spacing w:after="0"/>
              <w:rPr>
                <w:sz w:val="20"/>
                <w:szCs w:val="20"/>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year, 4 months</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commercial</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 months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4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At or for the Nine Months ended</w:t>
            </w:r>
          </w:p>
        </w:tc>
      </w:tr>
      <w:tr>
        <w:trPr>
          <w:trHeight w:val="239"/>
        </w:trPr>
        <w:tc>
          <w:tcPr>
            <w:tcW w:w="6440" w:type="dxa"/>
            <w:vAlign w:val="bottom"/>
          </w:tcPr>
          <w:p>
            <w:pPr>
              <w:spacing w:after="0"/>
              <w:rPr>
                <w:sz w:val="20"/>
                <w:szCs w:val="20"/>
                <w:color w:val="auto"/>
              </w:rPr>
            </w:pPr>
          </w:p>
        </w:tc>
        <w:tc>
          <w:tcPr>
            <w:tcW w:w="4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September 30, 2026</w:t>
            </w:r>
          </w:p>
        </w:tc>
      </w:tr>
      <w:tr>
        <w:trPr>
          <w:trHeight w:val="187"/>
        </w:trPr>
        <w:tc>
          <w:tcPr>
            <w:tcW w:w="6440" w:type="dxa"/>
            <w:vAlign w:val="bottom"/>
          </w:tcPr>
          <w:p>
            <w:pPr>
              <w:spacing w:after="0"/>
              <w:rPr>
                <w:sz w:val="16"/>
                <w:szCs w:val="16"/>
                <w:color w:val="auto"/>
              </w:rPr>
            </w:pPr>
          </w:p>
        </w:tc>
        <w:tc>
          <w:tcPr>
            <w:tcW w:w="2460" w:type="dxa"/>
            <w:vAlign w:val="bottom"/>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8"/>
              </w:rPr>
              <w:t>Weighted Average Interest Rate</w:t>
            </w:r>
          </w:p>
        </w:tc>
        <w:tc>
          <w:tcPr>
            <w:tcW w:w="23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Weighted Average Term</w:t>
            </w:r>
          </w:p>
        </w:tc>
      </w:tr>
      <w:tr>
        <w:trPr>
          <w:trHeight w:val="239"/>
        </w:trPr>
        <w:tc>
          <w:tcPr>
            <w:tcW w:w="6440" w:type="dxa"/>
            <w:vAlign w:val="bottom"/>
          </w:tcPr>
          <w:p>
            <w:pPr>
              <w:spacing w:after="0"/>
              <w:rPr>
                <w:sz w:val="20"/>
                <w:szCs w:val="20"/>
                <w:color w:val="auto"/>
              </w:rPr>
            </w:pPr>
          </w:p>
        </w:tc>
        <w:tc>
          <w:tcPr>
            <w:tcW w:w="2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Reduction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Extension</w:t>
            </w:r>
          </w:p>
        </w:tc>
      </w:tr>
      <w:tr>
        <w:trPr>
          <w:trHeight w:val="241"/>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top w:val="single" w:sz="8" w:color="CCEEFF"/>
            </w:tcBorders>
            <w:shd w:val="clear" w:color="auto" w:fill="CCEEFF"/>
          </w:tcPr>
          <w:p>
            <w:pPr>
              <w:spacing w:after="0"/>
              <w:rPr>
                <w:sz w:val="20"/>
                <w:szCs w:val="20"/>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 years</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months</w:t>
            </w:r>
          </w:p>
        </w:tc>
      </w:tr>
      <w:tr>
        <w:trPr>
          <w:trHeight w:val="24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commercial</w:t>
            </w:r>
          </w:p>
        </w:tc>
        <w:tc>
          <w:tcPr>
            <w:tcW w:w="2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months</w:t>
            </w:r>
          </w:p>
        </w:tc>
      </w:tr>
      <w:tr>
        <w:trPr>
          <w:trHeight w:val="311"/>
        </w:trPr>
        <w:tc>
          <w:tcPr>
            <w:tcW w:w="6440" w:type="dxa"/>
            <w:vAlign w:val="bottom"/>
          </w:tcPr>
          <w:p>
            <w:pPr>
              <w:spacing w:after="0"/>
              <w:rPr>
                <w:sz w:val="24"/>
                <w:szCs w:val="24"/>
                <w:color w:val="auto"/>
              </w:rPr>
            </w:pPr>
          </w:p>
        </w:tc>
        <w:tc>
          <w:tcPr>
            <w:tcW w:w="4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At or for the Nine Months ended</w:t>
            </w:r>
          </w:p>
        </w:tc>
      </w:tr>
      <w:tr>
        <w:trPr>
          <w:trHeight w:val="239"/>
        </w:trPr>
        <w:tc>
          <w:tcPr>
            <w:tcW w:w="6440" w:type="dxa"/>
            <w:vAlign w:val="bottom"/>
          </w:tcPr>
          <w:p>
            <w:pPr>
              <w:spacing w:after="0"/>
              <w:rPr>
                <w:sz w:val="20"/>
                <w:szCs w:val="20"/>
                <w:color w:val="auto"/>
              </w:rPr>
            </w:pPr>
          </w:p>
        </w:tc>
        <w:tc>
          <w:tcPr>
            <w:tcW w:w="4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September 30, 2025</w:t>
            </w:r>
          </w:p>
        </w:tc>
      </w:tr>
      <w:tr>
        <w:trPr>
          <w:trHeight w:val="187"/>
        </w:trPr>
        <w:tc>
          <w:tcPr>
            <w:tcW w:w="6440" w:type="dxa"/>
            <w:vAlign w:val="bottom"/>
          </w:tcPr>
          <w:p>
            <w:pPr>
              <w:spacing w:after="0"/>
              <w:rPr>
                <w:sz w:val="16"/>
                <w:szCs w:val="16"/>
                <w:color w:val="auto"/>
              </w:rPr>
            </w:pPr>
          </w:p>
        </w:tc>
        <w:tc>
          <w:tcPr>
            <w:tcW w:w="2460" w:type="dxa"/>
            <w:vAlign w:val="bottom"/>
            <w:gridSpan w:val="2"/>
          </w:tcPr>
          <w:p>
            <w:pPr>
              <w:jc w:val="center"/>
              <w:ind w:right="100"/>
              <w:spacing w:after="0" w:line="187" w:lineRule="exact"/>
              <w:rPr>
                <w:sz w:val="20"/>
                <w:szCs w:val="20"/>
                <w:color w:val="auto"/>
              </w:rPr>
            </w:pPr>
            <w:r>
              <w:rPr>
                <w:rFonts w:ascii="Times New Roman" w:cs="Times New Roman" w:eastAsia="Times New Roman" w:hAnsi="Times New Roman"/>
                <w:sz w:val="18"/>
                <w:szCs w:val="18"/>
                <w:color w:val="auto"/>
                <w:w w:val="98"/>
              </w:rPr>
              <w:t>Weighted Average Interest Rate</w:t>
            </w:r>
          </w:p>
        </w:tc>
        <w:tc>
          <w:tcPr>
            <w:tcW w:w="23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7"/>
              </w:rPr>
              <w:t>Weighted Average Term</w:t>
            </w:r>
          </w:p>
        </w:tc>
      </w:tr>
      <w:tr>
        <w:trPr>
          <w:trHeight w:val="239"/>
        </w:trPr>
        <w:tc>
          <w:tcPr>
            <w:tcW w:w="6440" w:type="dxa"/>
            <w:vAlign w:val="bottom"/>
          </w:tcPr>
          <w:p>
            <w:pPr>
              <w:spacing w:after="0"/>
              <w:rPr>
                <w:sz w:val="20"/>
                <w:szCs w:val="20"/>
                <w:color w:val="auto"/>
              </w:rPr>
            </w:pPr>
          </w:p>
        </w:tc>
        <w:tc>
          <w:tcPr>
            <w:tcW w:w="2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Reduction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Extension</w:t>
            </w:r>
          </w:p>
        </w:tc>
      </w:tr>
      <w:tr>
        <w:trPr>
          <w:trHeight w:val="241"/>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Borders>
              <w:top w:val="single" w:sz="8" w:color="CCEEFF"/>
            </w:tcBorders>
            <w:shd w:val="clear" w:color="auto" w:fill="CCEEFF"/>
          </w:tcPr>
          <w:p>
            <w:pPr>
              <w:spacing w:after="0"/>
              <w:rPr>
                <w:sz w:val="20"/>
                <w:szCs w:val="20"/>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 year</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commercial</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year</w:t>
            </w:r>
          </w:p>
        </w:tc>
      </w:tr>
    </w:tbl>
    <w:p>
      <w:pPr>
        <w:spacing w:after="0" w:line="3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that were modified within the preceding twelve months that had a payment default during the period ended September 30, 2026 had an ending balances of $59,000 and $290,000, and were included in other commercial loans, and residential real estate loans, respectively. During the period ending September 30, 2025, there were loans with period ending balances of $136,000 and $220,000, that were modified during the preceding twelve months that had a payment default, and were included in other commercial loans, and commercial real estate loans, respectively. There were $25,000 and $0 additional unfunded commitments on MBFD loans outstanding at September 30, 2026 and December 31, 2025, respectively. At September 30, 2026 and December 31, 2025, the Company had $730,000 and $2,935,000, respectively, of consumer mortgage loans secured by residential real estate properties for which formal foreclosure proceedings are in process. The Company had $601,000 and $155,000 of OREO secured by residential real estate properties at September 30, 2026 and December 31, 2025, respectively.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depict the performance of loans that have been modified in the last twelve months by segment: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1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center"/>
              <w:ind w:right="80"/>
              <w:spacing w:after="0" w:line="191" w:lineRule="exact"/>
              <w:rPr>
                <w:sz w:val="20"/>
                <w:szCs w:val="20"/>
                <w:color w:val="auto"/>
              </w:rPr>
            </w:pPr>
            <w:r>
              <w:rPr>
                <w:rFonts w:ascii="Times New Roman" w:cs="Times New Roman" w:eastAsia="Times New Roman" w:hAnsi="Times New Roman"/>
                <w:sz w:val="18"/>
                <w:szCs w:val="18"/>
                <w:color w:val="auto"/>
                <w:w w:val="99"/>
              </w:rPr>
              <w:t>90 Days or More Past</w:t>
            </w:r>
          </w:p>
        </w:tc>
        <w:tc>
          <w:tcPr>
            <w:tcW w:w="164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60" w:type="dxa"/>
            <w:vAlign w:val="bottom"/>
          </w:tcPr>
          <w:p>
            <w:pPr>
              <w:spacing w:after="0"/>
              <w:rPr>
                <w:sz w:val="15"/>
                <w:szCs w:val="15"/>
                <w:color w:val="auto"/>
              </w:rPr>
            </w:pPr>
          </w:p>
        </w:tc>
        <w:tc>
          <w:tcPr>
            <w:tcW w:w="1360" w:type="dxa"/>
            <w:vAlign w:val="bottom"/>
            <w:gridSpan w:val="2"/>
          </w:tcPr>
          <w:p>
            <w:pPr>
              <w:ind w:left="260"/>
              <w:spacing w:after="0" w:line="160" w:lineRule="exact"/>
              <w:rPr>
                <w:sz w:val="20"/>
                <w:szCs w:val="20"/>
                <w:color w:val="auto"/>
              </w:rPr>
            </w:pPr>
            <w:r>
              <w:rPr>
                <w:rFonts w:ascii="Times New Roman" w:cs="Times New Roman" w:eastAsia="Times New Roman" w:hAnsi="Times New Roman"/>
                <w:sz w:val="18"/>
                <w:szCs w:val="18"/>
                <w:color w:val="auto"/>
              </w:rPr>
              <w:t>Total</w:t>
            </w:r>
          </w:p>
        </w:tc>
        <w:tc>
          <w:tcPr>
            <w:tcW w:w="1720" w:type="dxa"/>
            <w:vAlign w:val="bottom"/>
            <w:gridSpan w:val="2"/>
          </w:tcPr>
          <w:p>
            <w:pPr>
              <w:ind w:left="540"/>
              <w:spacing w:after="0" w:line="160" w:lineRule="exact"/>
              <w:rPr>
                <w:sz w:val="20"/>
                <w:szCs w:val="20"/>
                <w:color w:val="auto"/>
              </w:rPr>
            </w:pPr>
            <w:r>
              <w:rPr>
                <w:rFonts w:ascii="Times New Roman" w:cs="Times New Roman" w:eastAsia="Times New Roman" w:hAnsi="Times New Roman"/>
                <w:sz w:val="18"/>
                <w:szCs w:val="18"/>
                <w:color w:val="auto"/>
              </w:rPr>
              <w:t>Current</w:t>
            </w:r>
          </w:p>
        </w:tc>
        <w:tc>
          <w:tcPr>
            <w:tcW w:w="17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8"/>
                <w:szCs w:val="18"/>
                <w:color w:val="auto"/>
                <w:w w:val="99"/>
              </w:rPr>
              <w:t>30-89 Days Past Due</w:t>
            </w:r>
          </w:p>
        </w:tc>
        <w:tc>
          <w:tcPr>
            <w:tcW w:w="17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8"/>
                <w:szCs w:val="18"/>
                <w:color w:val="auto"/>
                <w:w w:val="99"/>
              </w:rPr>
              <w:t>Due</w:t>
            </w:r>
          </w:p>
        </w:tc>
        <w:tc>
          <w:tcPr>
            <w:tcW w:w="1640" w:type="dxa"/>
            <w:vAlign w:val="bottom"/>
          </w:tcPr>
          <w:p>
            <w:pPr>
              <w:jc w:val="right"/>
              <w:ind w:right="250"/>
              <w:spacing w:after="0" w:line="160" w:lineRule="exact"/>
              <w:rPr>
                <w:sz w:val="20"/>
                <w:szCs w:val="20"/>
                <w:color w:val="auto"/>
              </w:rPr>
            </w:pPr>
            <w:r>
              <w:rPr>
                <w:rFonts w:ascii="Times New Roman" w:cs="Times New Roman" w:eastAsia="Times New Roman" w:hAnsi="Times New Roman"/>
                <w:sz w:val="18"/>
                <w:szCs w:val="18"/>
                <w:color w:val="auto"/>
              </w:rPr>
              <w:t>Non-Accrual</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real estate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43"/>
        </w:trPr>
        <w:tc>
          <w:tcPr>
            <w:tcW w:w="20" w:type="dxa"/>
            <w:vAlign w:val="bottom"/>
          </w:tcPr>
          <w:p>
            <w:pPr>
              <w:spacing w:after="0"/>
              <w:rPr>
                <w:sz w:val="21"/>
                <w:szCs w:val="21"/>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100" w:type="dxa"/>
            <w:vAlign w:val="bottom"/>
          </w:tcPr>
          <w:p>
            <w:pPr>
              <w:spacing w:after="0"/>
              <w:rPr>
                <w:sz w:val="21"/>
                <w:szCs w:val="21"/>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2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w:t>
            </w: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10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36"/>
        </w:trPr>
        <w:tc>
          <w:tcPr>
            <w:tcW w:w="20" w:type="dxa"/>
            <w:vAlign w:val="bottom"/>
          </w:tcPr>
          <w:p>
            <w:pPr>
              <w:spacing w:after="0"/>
              <w:rPr>
                <w:sz w:val="20"/>
                <w:szCs w:val="20"/>
                <w:color w:val="auto"/>
              </w:rPr>
            </w:pP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17,543</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Pr>
          <w:p>
            <w:pPr>
              <w:spacing w:after="0"/>
              <w:rPr>
                <w:sz w:val="20"/>
                <w:szCs w:val="20"/>
                <w:color w:val="auto"/>
              </w:rPr>
            </w:pPr>
          </w:p>
        </w:tc>
        <w:tc>
          <w:tcPr>
            <w:tcW w:w="17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color w:val="auto"/>
                <w:w w:val="99"/>
              </w:rPr>
              <w:t>90 Days or More Past</w:t>
            </w:r>
          </w:p>
        </w:tc>
        <w:tc>
          <w:tcPr>
            <w:tcW w:w="164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60" w:type="dxa"/>
            <w:vAlign w:val="bottom"/>
          </w:tcPr>
          <w:p>
            <w:pPr>
              <w:spacing w:after="0"/>
              <w:rPr>
                <w:sz w:val="16"/>
                <w:szCs w:val="16"/>
                <w:color w:val="auto"/>
              </w:rPr>
            </w:pPr>
          </w:p>
        </w:tc>
        <w:tc>
          <w:tcPr>
            <w:tcW w:w="136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1720" w:type="dxa"/>
            <w:vAlign w:val="bottom"/>
            <w:gridSpan w:val="2"/>
          </w:tcPr>
          <w:p>
            <w:pPr>
              <w:ind w:left="540"/>
              <w:spacing w:after="0" w:line="169" w:lineRule="exact"/>
              <w:rPr>
                <w:sz w:val="20"/>
                <w:szCs w:val="20"/>
                <w:color w:val="auto"/>
              </w:rPr>
            </w:pPr>
            <w:r>
              <w:rPr>
                <w:rFonts w:ascii="Times New Roman" w:cs="Times New Roman" w:eastAsia="Times New Roman" w:hAnsi="Times New Roman"/>
                <w:sz w:val="18"/>
                <w:szCs w:val="18"/>
                <w:color w:val="auto"/>
              </w:rPr>
              <w:t>Current</w:t>
            </w:r>
          </w:p>
        </w:tc>
        <w:tc>
          <w:tcPr>
            <w:tcW w:w="172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color w:val="auto"/>
                <w:w w:val="99"/>
              </w:rPr>
              <w:t>30-89 Days Past Due</w:t>
            </w:r>
          </w:p>
        </w:tc>
        <w:tc>
          <w:tcPr>
            <w:tcW w:w="172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9"/>
              </w:rPr>
              <w:t>Due</w:t>
            </w:r>
          </w:p>
        </w:tc>
        <w:tc>
          <w:tcPr>
            <w:tcW w:w="164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Non-Accrual</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1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3"/>
        </w:trPr>
        <w:tc>
          <w:tcPr>
            <w:tcW w:w="20" w:type="dxa"/>
            <w:vAlign w:val="bottom"/>
            <w:tcBorders>
              <w:bottom w:val="single" w:sz="8" w:color="CCEEFF"/>
            </w:tcBorders>
          </w:tcPr>
          <w:p>
            <w:pPr>
              <w:spacing w:after="0"/>
              <w:rPr>
                <w:sz w:val="21"/>
                <w:szCs w:val="21"/>
                <w:color w:val="auto"/>
              </w:rPr>
            </w:pPr>
          </w:p>
        </w:tc>
        <w:tc>
          <w:tcPr>
            <w:tcW w:w="2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commercial</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56"/>
        </w:trPr>
        <w:tc>
          <w:tcPr>
            <w:tcW w:w="2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17,719</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17,431</w:t>
            </w:r>
          </w:p>
        </w:tc>
        <w:tc>
          <w:tcPr>
            <w:tcW w:w="10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Quality Indicators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categorizes CRE and other commercial loans into risk categories based on relevant information about the ability of borrowers to service their obligations. The following tables present the amortized cost in CRE and other commercial loans based on the Company’s internal risk rating. The date of a modification, renewal or extension of a loan is considered for the year of origination if the terms of the loan are as favorable to the Company as the terms are for a comparable loan to other borrowers with similar credit risk.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color w:val="auto"/>
              </w:rPr>
              <w:t>September 30, 2026</w:t>
            </w: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80"/>
              <w:spacing w:after="0" w:line="182" w:lineRule="exact"/>
              <w:rPr>
                <w:sz w:val="20"/>
                <w:szCs w:val="20"/>
                <w:color w:val="auto"/>
              </w:rPr>
            </w:pPr>
            <w:r>
              <w:rPr>
                <w:rFonts w:ascii="Times New Roman" w:cs="Times New Roman" w:eastAsia="Times New Roman" w:hAnsi="Times New Roman"/>
                <w:sz w:val="18"/>
                <w:szCs w:val="18"/>
                <w:color w:val="auto"/>
                <w:w w:val="99"/>
              </w:rPr>
              <w:t>Gross Charge-</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Doubtful/</w:t>
            </w:r>
          </w:p>
        </w:tc>
      </w:tr>
      <w:tr>
        <w:trPr>
          <w:trHeight w:val="189"/>
        </w:trPr>
        <w:tc>
          <w:tcPr>
            <w:tcW w:w="20" w:type="dxa"/>
            <w:vAlign w:val="bottom"/>
          </w:tcPr>
          <w:p>
            <w:pPr>
              <w:spacing w:after="0"/>
              <w:rPr>
                <w:sz w:val="16"/>
                <w:szCs w:val="16"/>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6"/>
                <w:szCs w:val="16"/>
                <w:color w:val="auto"/>
              </w:rPr>
            </w:pPr>
          </w:p>
        </w:tc>
        <w:tc>
          <w:tcPr>
            <w:tcW w:w="126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color w:val="auto"/>
                <w:w w:val="93"/>
              </w:rPr>
              <w:t>Offs</w:t>
            </w:r>
          </w:p>
        </w:tc>
        <w:tc>
          <w:tcPr>
            <w:tcW w:w="1420" w:type="dxa"/>
            <w:vAlign w:val="bottom"/>
            <w:gridSpan w:val="2"/>
          </w:tcPr>
          <w:p>
            <w:pPr>
              <w:ind w:left="480"/>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1420" w:type="dxa"/>
            <w:vAlign w:val="bottom"/>
            <w:gridSpan w:val="2"/>
          </w:tcPr>
          <w:p>
            <w:pPr>
              <w:ind w:left="500"/>
              <w:spacing w:after="0" w:line="169" w:lineRule="exact"/>
              <w:rPr>
                <w:sz w:val="20"/>
                <w:szCs w:val="20"/>
                <w:color w:val="auto"/>
              </w:rPr>
            </w:pPr>
            <w:r>
              <w:rPr>
                <w:rFonts w:ascii="Times New Roman" w:cs="Times New Roman" w:eastAsia="Times New Roman" w:hAnsi="Times New Roman"/>
                <w:sz w:val="18"/>
                <w:szCs w:val="18"/>
                <w:color w:val="auto"/>
              </w:rPr>
              <w:t>Pass</w:t>
            </w:r>
          </w:p>
        </w:tc>
        <w:tc>
          <w:tcPr>
            <w:tcW w:w="142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Special Mention</w:t>
            </w:r>
          </w:p>
        </w:tc>
        <w:tc>
          <w:tcPr>
            <w:tcW w:w="1420" w:type="dxa"/>
            <w:vAlign w:val="bottom"/>
            <w:gridSpan w:val="2"/>
          </w:tcPr>
          <w:p>
            <w:pPr>
              <w:ind w:left="200"/>
              <w:spacing w:after="0" w:line="169" w:lineRule="exact"/>
              <w:rPr>
                <w:sz w:val="20"/>
                <w:szCs w:val="20"/>
                <w:color w:val="auto"/>
              </w:rPr>
            </w:pPr>
            <w:r>
              <w:rPr>
                <w:rFonts w:ascii="Times New Roman" w:cs="Times New Roman" w:eastAsia="Times New Roman" w:hAnsi="Times New Roman"/>
                <w:sz w:val="18"/>
                <w:szCs w:val="18"/>
                <w:color w:val="auto"/>
              </w:rPr>
              <w:t>Substandard</w:t>
            </w:r>
          </w:p>
        </w:tc>
        <w:tc>
          <w:tcPr>
            <w:tcW w:w="130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color w:val="auto"/>
              </w:rPr>
              <w:t>Loss</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2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 loans by origination year</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2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2026 (year-to-date)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1,962,619</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1,953,613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2025</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2,421,952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2,404,422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2024</w:t>
            </w: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1,508,083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1,488,872</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2023</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1,123,766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1,095,335</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24,807</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2,271,956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2,204,413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54,197</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2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Prior</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4,721,441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4,576,614</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109,946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2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Revolving loans</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422,416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418,126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28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14,432,233</w:t>
            </w:r>
          </w:p>
        </w:tc>
        <w:tc>
          <w:tcPr>
            <w:tcW w:w="12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14,141,395</w:t>
            </w:r>
          </w:p>
        </w:tc>
        <w:tc>
          <w:tcPr>
            <w:tcW w:w="12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128,895</w:t>
            </w:r>
          </w:p>
        </w:tc>
        <w:tc>
          <w:tcPr>
            <w:tcW w:w="12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161,943</w:t>
            </w:r>
          </w:p>
        </w:tc>
        <w:tc>
          <w:tcPr>
            <w:tcW w:w="12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 loans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2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 loans by origination year</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2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2026 (year-to-date)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504,375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43"/>
        </w:trPr>
        <w:tc>
          <w:tcPr>
            <w:tcW w:w="1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2025</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346,562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338,997</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2024</w:t>
            </w: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231,992</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223,677</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2023</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171,305</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163,260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43"/>
        </w:trPr>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417,436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410,646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20" w:type="dxa"/>
            <w:vAlign w:val="bottom"/>
          </w:tcPr>
          <w:p>
            <w:pPr>
              <w:spacing w:after="0"/>
              <w:rPr>
                <w:sz w:val="21"/>
                <w:szCs w:val="21"/>
                <w:color w:val="auto"/>
              </w:rPr>
            </w:pPr>
          </w:p>
        </w:tc>
        <w:tc>
          <w:tcPr>
            <w:tcW w:w="2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Prior</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865,146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837,880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20" w:type="dxa"/>
            <w:vAlign w:val="bottom"/>
            <w:shd w:val="clear" w:color="auto" w:fill="CCEEFF"/>
          </w:tcPr>
          <w:p>
            <w:pPr>
              <w:spacing w:after="0"/>
              <w:rPr>
                <w:sz w:val="21"/>
                <w:szCs w:val="21"/>
                <w:color w:val="auto"/>
              </w:rPr>
            </w:pPr>
          </w:p>
        </w:tc>
        <w:tc>
          <w:tcPr>
            <w:tcW w:w="2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Revolving loans</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1,076,598</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1,034,548</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21,239</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r>
      <w:tr>
        <w:trPr>
          <w:trHeight w:val="237"/>
        </w:trPr>
        <w:tc>
          <w:tcPr>
            <w:tcW w:w="20" w:type="dxa"/>
            <w:vAlign w:val="bottom"/>
          </w:tcPr>
          <w:p>
            <w:pPr>
              <w:spacing w:after="0"/>
              <w:rPr>
                <w:sz w:val="20"/>
                <w:szCs w:val="20"/>
                <w:color w:val="auto"/>
              </w:rPr>
            </w:pPr>
          </w:p>
        </w:tc>
        <w:tc>
          <w:tcPr>
            <w:tcW w:w="28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0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3,613,414</w:t>
            </w:r>
          </w:p>
        </w:tc>
        <w:tc>
          <w:tcPr>
            <w:tcW w:w="12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3,510,512</w:t>
            </w:r>
          </w:p>
        </w:tc>
        <w:tc>
          <w:tcPr>
            <w:tcW w:w="12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41,026</w:t>
            </w:r>
          </w:p>
        </w:tc>
        <w:tc>
          <w:tcPr>
            <w:tcW w:w="12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58,246</w:t>
            </w:r>
          </w:p>
        </w:tc>
        <w:tc>
          <w:tcPr>
            <w:tcW w:w="12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color w:val="auto"/>
              </w:rPr>
              <w:t>December 31, 2025</w:t>
            </w: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color w:val="auto"/>
                <w:w w:val="99"/>
              </w:rPr>
              <w:t>Gross Charge-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Doubtful/</w:t>
            </w:r>
          </w:p>
        </w:tc>
      </w:tr>
      <w:tr>
        <w:trPr>
          <w:trHeight w:val="189"/>
        </w:trPr>
        <w:tc>
          <w:tcPr>
            <w:tcW w:w="20" w:type="dxa"/>
            <w:vAlign w:val="bottom"/>
          </w:tcPr>
          <w:p>
            <w:pPr>
              <w:spacing w:after="0"/>
              <w:rPr>
                <w:sz w:val="16"/>
                <w:szCs w:val="16"/>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Offs</w:t>
            </w:r>
          </w:p>
        </w:tc>
        <w:tc>
          <w:tcPr>
            <w:tcW w:w="280" w:type="dxa"/>
            <w:vAlign w:val="bottom"/>
          </w:tcPr>
          <w:p>
            <w:pPr>
              <w:spacing w:after="0"/>
              <w:rPr>
                <w:sz w:val="16"/>
                <w:szCs w:val="16"/>
                <w:color w:val="auto"/>
              </w:rPr>
            </w:pPr>
          </w:p>
        </w:tc>
        <w:tc>
          <w:tcPr>
            <w:tcW w:w="1140" w:type="dxa"/>
            <w:vAlign w:val="bottom"/>
            <w:gridSpan w:val="2"/>
          </w:tcPr>
          <w:p>
            <w:pPr>
              <w:ind w:left="200"/>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1400" w:type="dxa"/>
            <w:vAlign w:val="bottom"/>
            <w:gridSpan w:val="2"/>
          </w:tcPr>
          <w:p>
            <w:pPr>
              <w:ind w:left="480"/>
              <w:spacing w:after="0" w:line="169" w:lineRule="exact"/>
              <w:rPr>
                <w:sz w:val="20"/>
                <w:szCs w:val="20"/>
                <w:color w:val="auto"/>
              </w:rPr>
            </w:pPr>
            <w:r>
              <w:rPr>
                <w:rFonts w:ascii="Times New Roman" w:cs="Times New Roman" w:eastAsia="Times New Roman" w:hAnsi="Times New Roman"/>
                <w:sz w:val="18"/>
                <w:szCs w:val="18"/>
                <w:color w:val="auto"/>
              </w:rPr>
              <w:t>Pass</w:t>
            </w:r>
          </w:p>
        </w:tc>
        <w:tc>
          <w:tcPr>
            <w:tcW w:w="138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Special Mention</w:t>
            </w:r>
          </w:p>
        </w:tc>
        <w:tc>
          <w:tcPr>
            <w:tcW w:w="1420" w:type="dxa"/>
            <w:vAlign w:val="bottom"/>
            <w:gridSpan w:val="2"/>
          </w:tcPr>
          <w:p>
            <w:pPr>
              <w:ind w:left="220"/>
              <w:spacing w:after="0" w:line="169" w:lineRule="exact"/>
              <w:rPr>
                <w:sz w:val="20"/>
                <w:szCs w:val="20"/>
                <w:color w:val="auto"/>
              </w:rPr>
            </w:pPr>
            <w:r>
              <w:rPr>
                <w:rFonts w:ascii="Times New Roman" w:cs="Times New Roman" w:eastAsia="Times New Roman" w:hAnsi="Times New Roman"/>
                <w:sz w:val="18"/>
                <w:szCs w:val="18"/>
                <w:color w:val="auto"/>
              </w:rPr>
              <w:t>Substandard</w:t>
            </w:r>
          </w:p>
        </w:tc>
        <w:tc>
          <w:tcPr>
            <w:tcW w:w="130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color w:val="auto"/>
              </w:rPr>
              <w:t>Loss</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2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 loans by origination year</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2025</w:t>
            </w: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2,114,996</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2,109,129</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2024</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1,622,518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1,609,785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2023</w:t>
            </w: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1,349,042</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1,318,470</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22,639</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2,537,806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2,461,577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58,488</w:t>
            </w: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2021</w:t>
            </w: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2,087,103</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1,987,311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35,463</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64,329</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2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Prior</w:t>
            </w:r>
          </w:p>
        </w:tc>
        <w:tc>
          <w:tcPr>
            <w:tcW w:w="1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3,399,784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3,283,767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46,443</w:t>
            </w: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2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Revolving loans</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454,263</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440,697</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29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13,565,512</w:t>
            </w:r>
          </w:p>
        </w:tc>
        <w:tc>
          <w:tcPr>
            <w:tcW w:w="10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13,210,736</w:t>
            </w:r>
          </w:p>
        </w:tc>
        <w:tc>
          <w:tcPr>
            <w:tcW w:w="10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186,918</w:t>
            </w:r>
          </w:p>
        </w:tc>
        <w:tc>
          <w:tcPr>
            <w:tcW w:w="8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167,858</w:t>
            </w:r>
          </w:p>
        </w:tc>
        <w:tc>
          <w:tcPr>
            <w:tcW w:w="10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 loans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2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 loans by origination year</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2025</w:t>
            </w: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512,778</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503,334</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43"/>
        </w:trPr>
        <w:tc>
          <w:tcPr>
            <w:tcW w:w="1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2024</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333,688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329,068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2023</w:t>
            </w: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233,025</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223,699</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43"/>
        </w:trPr>
        <w:tc>
          <w:tcPr>
            <w:tcW w:w="1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477,443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466,556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2021</w:t>
            </w: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402,519</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392,403</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20" w:type="dxa"/>
            <w:vAlign w:val="bottom"/>
          </w:tcPr>
          <w:p>
            <w:pPr>
              <w:spacing w:after="0"/>
              <w:rPr>
                <w:sz w:val="21"/>
                <w:szCs w:val="21"/>
                <w:color w:val="auto"/>
              </w:rPr>
            </w:pPr>
          </w:p>
        </w:tc>
        <w:tc>
          <w:tcPr>
            <w:tcW w:w="2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Prior</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595,651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574,367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20" w:type="dxa"/>
            <w:vAlign w:val="bottom"/>
            <w:shd w:val="clear" w:color="auto" w:fill="CCEEFF"/>
          </w:tcPr>
          <w:p>
            <w:pPr>
              <w:spacing w:after="0"/>
              <w:rPr>
                <w:sz w:val="21"/>
                <w:szCs w:val="21"/>
                <w:color w:val="auto"/>
              </w:rPr>
            </w:pPr>
          </w:p>
        </w:tc>
        <w:tc>
          <w:tcPr>
            <w:tcW w:w="2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Revolving loans</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942,725</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889,147</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29,827</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20" w:type="dxa"/>
            <w:vAlign w:val="bottom"/>
          </w:tcPr>
          <w:p>
            <w:pPr>
              <w:spacing w:after="0"/>
              <w:rPr>
                <w:sz w:val="20"/>
                <w:szCs w:val="20"/>
                <w:color w:val="auto"/>
              </w:rPr>
            </w:pPr>
          </w:p>
        </w:tc>
        <w:tc>
          <w:tcPr>
            <w:tcW w:w="29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3,497,829</w:t>
            </w:r>
          </w:p>
        </w:tc>
        <w:tc>
          <w:tcPr>
            <w:tcW w:w="10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3,378,574</w:t>
            </w:r>
          </w:p>
        </w:tc>
        <w:tc>
          <w:tcPr>
            <w:tcW w:w="10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58,070</w:t>
            </w:r>
          </w:p>
        </w:tc>
        <w:tc>
          <w:tcPr>
            <w:tcW w:w="8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60,544</w:t>
            </w:r>
          </w:p>
        </w:tc>
        <w:tc>
          <w:tcPr>
            <w:tcW w:w="10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For residential real estate, home equity and other consumer loan segments, the Company evaluates credit quality primarily on the aging status of the loan.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amortized cost in residential real estate, home equity and other consumer loans based on payment performance:</w:t>
      </w:r>
    </w:p>
    <w:p>
      <w:pPr>
        <w:spacing w:after="0" w:line="288"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September 30, 2026</w:t>
            </w: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Gross Charge-</w:t>
            </w: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30-89 Days Past</w:t>
            </w:r>
          </w:p>
        </w:tc>
        <w:tc>
          <w:tcPr>
            <w:tcW w:w="13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Non-Accrual and</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90 Days or More</w:t>
            </w:r>
          </w:p>
        </w:tc>
        <w:tc>
          <w:tcPr>
            <w:tcW w:w="0" w:type="dxa"/>
            <w:vAlign w:val="bottom"/>
          </w:tcPr>
          <w:p>
            <w:pPr>
              <w:spacing w:after="0"/>
              <w:rPr>
                <w:sz w:val="1"/>
                <w:szCs w:val="1"/>
                <w:color w:val="auto"/>
              </w:rPr>
            </w:pPr>
          </w:p>
        </w:tc>
      </w:tr>
      <w:tr>
        <w:trPr>
          <w:trHeight w:val="189"/>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6"/>
                <w:szCs w:val="16"/>
                <w:color w:val="auto"/>
              </w:rPr>
            </w:pPr>
          </w:p>
        </w:tc>
        <w:tc>
          <w:tcPr>
            <w:tcW w:w="128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color w:val="auto"/>
                <w:w w:val="99"/>
              </w:rPr>
              <w:t>Offs</w:t>
            </w:r>
          </w:p>
        </w:tc>
        <w:tc>
          <w:tcPr>
            <w:tcW w:w="132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6"/>
                <w:szCs w:val="16"/>
                <w:color w:val="auto"/>
              </w:rPr>
            </w:pPr>
          </w:p>
        </w:tc>
        <w:tc>
          <w:tcPr>
            <w:tcW w:w="142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color w:val="auto"/>
                <w:w w:val="99"/>
              </w:rPr>
              <w:t>Performing</w:t>
            </w:r>
          </w:p>
        </w:tc>
        <w:tc>
          <w:tcPr>
            <w:tcW w:w="140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9"/>
              </w:rPr>
              <w:t>Due</w:t>
            </w:r>
          </w:p>
        </w:tc>
        <w:tc>
          <w:tcPr>
            <w:tcW w:w="13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Past Due</w:t>
            </w:r>
          </w:p>
        </w:tc>
        <w:tc>
          <w:tcPr>
            <w:tcW w:w="0" w:type="dxa"/>
            <w:vAlign w:val="bottom"/>
          </w:tcPr>
          <w:p>
            <w:pPr>
              <w:spacing w:after="0"/>
              <w:rPr>
                <w:sz w:val="1"/>
                <w:szCs w:val="1"/>
                <w:color w:val="auto"/>
              </w:rPr>
            </w:pPr>
          </w:p>
        </w:tc>
      </w:tr>
      <w:tr>
        <w:trPr>
          <w:trHeight w:val="34"/>
        </w:trPr>
        <w:tc>
          <w:tcPr>
            <w:tcW w:w="1280" w:type="dxa"/>
            <w:vAlign w:val="bottom"/>
            <w:tcBorders>
              <w:top w:val="single" w:sz="8" w:color="auto"/>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real estate loans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 loans by origination year</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2026 (year-to-date)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208,649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208,649</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2025</w:t>
            </w:r>
          </w:p>
        </w:tc>
        <w:tc>
          <w:tcPr>
            <w:tcW w:w="2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250,990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250,782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2024</w:t>
            </w:r>
          </w:p>
        </w:tc>
        <w:tc>
          <w:tcPr>
            <w:tcW w:w="2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146,307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143,233</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4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2023</w:t>
            </w:r>
          </w:p>
        </w:tc>
        <w:tc>
          <w:tcPr>
            <w:tcW w:w="2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222,765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216,561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2022</w:t>
            </w:r>
          </w:p>
        </w:tc>
        <w:tc>
          <w:tcPr>
            <w:tcW w:w="2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593,726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574,591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0" w:type="dxa"/>
            <w:vAlign w:val="bottom"/>
          </w:tcPr>
          <w:p>
            <w:pPr>
              <w:spacing w:after="0"/>
              <w:rPr>
                <w:sz w:val="1"/>
                <w:szCs w:val="1"/>
                <w:color w:val="auto"/>
              </w:rPr>
            </w:pPr>
          </w:p>
        </w:tc>
      </w:tr>
      <w:tr>
        <w:trPr>
          <w:trHeight w:val="243"/>
        </w:trPr>
        <w:tc>
          <w:tcPr>
            <w:tcW w:w="3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Prior</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682,263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672,969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0" w:type="dxa"/>
            <w:vAlign w:val="bottom"/>
          </w:tcPr>
          <w:p>
            <w:pPr>
              <w:spacing w:after="0"/>
              <w:rPr>
                <w:sz w:val="1"/>
                <w:szCs w:val="1"/>
                <w:color w:val="auto"/>
              </w:rPr>
            </w:pPr>
          </w:p>
        </w:tc>
      </w:tr>
      <w:tr>
        <w:trPr>
          <w:trHeight w:val="243"/>
        </w:trPr>
        <w:tc>
          <w:tcPr>
            <w:tcW w:w="3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Revolving loans</w:t>
            </w: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8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2,104,815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2,066,900</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21,302</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16,613</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equity loans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 loans by origination year</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2026 (year-to-date)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2025</w:t>
            </w:r>
          </w:p>
        </w:tc>
        <w:tc>
          <w:tcPr>
            <w:tcW w:w="2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2024</w:t>
            </w:r>
          </w:p>
        </w:tc>
        <w:tc>
          <w:tcPr>
            <w:tcW w:w="2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2023</w:t>
            </w:r>
          </w:p>
        </w:tc>
        <w:tc>
          <w:tcPr>
            <w:tcW w:w="2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2022</w:t>
            </w:r>
          </w:p>
        </w:tc>
        <w:tc>
          <w:tcPr>
            <w:tcW w:w="2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Prior</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43"/>
        </w:trPr>
        <w:tc>
          <w:tcPr>
            <w:tcW w:w="3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Revolving loans</w:t>
            </w: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999,408</w:t>
            </w:r>
          </w:p>
        </w:tc>
        <w:tc>
          <w:tcPr>
            <w:tcW w:w="8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988,954</w:t>
            </w:r>
          </w:p>
        </w:tc>
        <w:tc>
          <w:tcPr>
            <w:tcW w:w="10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0" w:type="dxa"/>
            <w:vAlign w:val="bottom"/>
          </w:tcPr>
          <w:p>
            <w:pPr>
              <w:spacing w:after="0"/>
              <w:rPr>
                <w:sz w:val="1"/>
                <w:szCs w:val="1"/>
                <w:color w:val="auto"/>
              </w:rPr>
            </w:pPr>
          </w:p>
        </w:tc>
      </w:tr>
      <w:tr>
        <w:trPr>
          <w:trHeight w:val="236"/>
        </w:trPr>
        <w:tc>
          <w:tcPr>
            <w:tcW w:w="38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1,050,852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1,038,975</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consumer loans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 loans by origination year</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2026 (year-to-date)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114,266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111,835</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2025</w:t>
            </w:r>
          </w:p>
        </w:tc>
        <w:tc>
          <w:tcPr>
            <w:tcW w:w="2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91,420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2024</w:t>
            </w:r>
          </w:p>
        </w:tc>
        <w:tc>
          <w:tcPr>
            <w:tcW w:w="2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58,199</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4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2023</w:t>
            </w:r>
          </w:p>
        </w:tc>
        <w:tc>
          <w:tcPr>
            <w:tcW w:w="2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42,586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2022</w:t>
            </w:r>
          </w:p>
        </w:tc>
        <w:tc>
          <w:tcPr>
            <w:tcW w:w="2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27,859</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3"/>
        </w:trPr>
        <w:tc>
          <w:tcPr>
            <w:tcW w:w="3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Prior</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45,456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43"/>
        </w:trPr>
        <w:tc>
          <w:tcPr>
            <w:tcW w:w="3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Revolving loans</w:t>
            </w: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35,927</w:t>
            </w:r>
          </w:p>
        </w:tc>
        <w:tc>
          <w:tcPr>
            <w:tcW w:w="8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35,402</w:t>
            </w:r>
          </w:p>
        </w:tc>
        <w:tc>
          <w:tcPr>
            <w:tcW w:w="10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6"/>
        </w:trPr>
        <w:tc>
          <w:tcPr>
            <w:tcW w:w="38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418,216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412,757</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December 31, 2025</w:t>
            </w: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Gross Charge-</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30-89 Days Past</w:t>
            </w:r>
          </w:p>
        </w:tc>
        <w:tc>
          <w:tcPr>
            <w:tcW w:w="13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Non-Accrual and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90 Days or More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Offs</w:t>
            </w:r>
          </w:p>
        </w:tc>
        <w:tc>
          <w:tcPr>
            <w:tcW w:w="280" w:type="dxa"/>
            <w:vAlign w:val="bottom"/>
          </w:tcPr>
          <w:p>
            <w:pPr>
              <w:spacing w:after="0"/>
              <w:rPr>
                <w:sz w:val="16"/>
                <w:szCs w:val="16"/>
                <w:color w:val="auto"/>
              </w:rPr>
            </w:pPr>
          </w:p>
        </w:tc>
        <w:tc>
          <w:tcPr>
            <w:tcW w:w="102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6"/>
                <w:szCs w:val="16"/>
                <w:color w:val="auto"/>
              </w:rPr>
            </w:pPr>
          </w:p>
        </w:tc>
        <w:tc>
          <w:tcPr>
            <w:tcW w:w="142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9"/>
              </w:rPr>
              <w:t>Performing</w:t>
            </w:r>
          </w:p>
        </w:tc>
        <w:tc>
          <w:tcPr>
            <w:tcW w:w="142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9"/>
              </w:rPr>
              <w:t>Due</w:t>
            </w:r>
          </w:p>
        </w:tc>
        <w:tc>
          <w:tcPr>
            <w:tcW w:w="13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Past Due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real estate loans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 loans by origination year</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2025</w:t>
            </w:r>
          </w:p>
        </w:tc>
        <w:tc>
          <w:tcPr>
            <w:tcW w:w="29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283,293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283,293</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2024</w:t>
            </w: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283,422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278,922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243"/>
        </w:trPr>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2023</w:t>
            </w:r>
          </w:p>
        </w:tc>
        <w:tc>
          <w:tcPr>
            <w:tcW w:w="2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297,393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293,384</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0" w:type="dxa"/>
            <w:vAlign w:val="bottom"/>
          </w:tcPr>
          <w:p>
            <w:pPr>
              <w:spacing w:after="0"/>
              <w:rPr>
                <w:sz w:val="1"/>
                <w:szCs w:val="1"/>
                <w:color w:val="auto"/>
              </w:rPr>
            </w:pPr>
          </w:p>
        </w:tc>
      </w:tr>
      <w:tr>
        <w:trPr>
          <w:trHeight w:val="243"/>
        </w:trPr>
        <w:tc>
          <w:tcPr>
            <w:tcW w:w="1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727,941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718,191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0" w:type="dxa"/>
            <w:vAlign w:val="bottom"/>
          </w:tcPr>
          <w:p>
            <w:pPr>
              <w:spacing w:after="0"/>
              <w:rPr>
                <w:sz w:val="1"/>
                <w:szCs w:val="1"/>
                <w:color w:val="auto"/>
              </w:rPr>
            </w:pPr>
          </w:p>
        </w:tc>
      </w:tr>
      <w:tr>
        <w:trPr>
          <w:trHeight w:val="243"/>
        </w:trPr>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2021</w:t>
            </w:r>
          </w:p>
        </w:tc>
        <w:tc>
          <w:tcPr>
            <w:tcW w:w="2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502,487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499,821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Prior</w:t>
            </w: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312,772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297,067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Revolving loans</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50,599</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50,365</w:t>
            </w:r>
          </w:p>
        </w:tc>
        <w:tc>
          <w:tcPr>
            <w:tcW w:w="10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2,457,907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2,421,043</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20,815</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equity loans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 loans by origination year</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2025</w:t>
            </w:r>
          </w:p>
        </w:tc>
        <w:tc>
          <w:tcPr>
            <w:tcW w:w="29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2024</w:t>
            </w: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2023</w:t>
            </w:r>
          </w:p>
        </w:tc>
        <w:tc>
          <w:tcPr>
            <w:tcW w:w="2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1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2021</w:t>
            </w:r>
          </w:p>
        </w:tc>
        <w:tc>
          <w:tcPr>
            <w:tcW w:w="2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Prior</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Revolving loans</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963,592</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954,888</w:t>
            </w:r>
          </w:p>
        </w:tc>
        <w:tc>
          <w:tcPr>
            <w:tcW w:w="10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12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977,206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967,959</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consumer loans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 loans by origination year</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2025</w:t>
            </w:r>
          </w:p>
        </w:tc>
        <w:tc>
          <w:tcPr>
            <w:tcW w:w="29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143,910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140,869</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1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2024</w:t>
            </w: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82,551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43"/>
        </w:trPr>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2023</w:t>
            </w:r>
          </w:p>
        </w:tc>
        <w:tc>
          <w:tcPr>
            <w:tcW w:w="2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67,016</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43"/>
        </w:trPr>
        <w:tc>
          <w:tcPr>
            <w:tcW w:w="1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2022</w:t>
            </w: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39,126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43"/>
        </w:trPr>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2021</w:t>
            </w:r>
          </w:p>
        </w:tc>
        <w:tc>
          <w:tcPr>
            <w:tcW w:w="2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25,018</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Prior</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28,982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Revolving loans</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39,485</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39,043</w:t>
            </w:r>
          </w:p>
        </w:tc>
        <w:tc>
          <w:tcPr>
            <w:tcW w:w="10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429,342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422,605</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4. Leases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59"/>
        </w:trPr>
        <w:tc>
          <w:tcPr>
            <w:tcW w:w="9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w w:val="99"/>
              </w:rPr>
              <w:t>The Company leases certain land, premises and equipment from third parties. The following table summarizes the Company’s leases:</w:t>
            </w:r>
          </w:p>
        </w:tc>
        <w:tc>
          <w:tcPr>
            <w:tcW w:w="16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September 30, 2026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080" w:type="dxa"/>
            <w:vAlign w:val="bottom"/>
            <w:tcBorders>
              <w:bottom w:val="single" w:sz="8" w:color="auto"/>
            </w:tcBorders>
            <w:gridSpan w:val="5"/>
          </w:tcPr>
          <w:p>
            <w:pPr>
              <w:jc w:val="right"/>
              <w:ind w:right="87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20"/>
              <w:spacing w:after="0" w:line="182" w:lineRule="exact"/>
              <w:rPr>
                <w:sz w:val="20"/>
                <w:szCs w:val="20"/>
                <w:color w:val="auto"/>
              </w:rPr>
            </w:pPr>
            <w:r>
              <w:rPr>
                <w:rFonts w:ascii="Times New Roman" w:cs="Times New Roman" w:eastAsia="Times New Roman" w:hAnsi="Times New Roman"/>
                <w:sz w:val="18"/>
                <w:szCs w:val="18"/>
                <w:color w:val="auto"/>
              </w:rPr>
              <w:t>Finance</w:t>
            </w:r>
          </w:p>
        </w:tc>
        <w:tc>
          <w:tcPr>
            <w:tcW w:w="1600" w:type="dxa"/>
            <w:vAlign w:val="bottom"/>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rPr>
              <w:t>Operating</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4"/>
          </w:tcPr>
          <w:p>
            <w:pPr>
              <w:ind w:left="280"/>
              <w:spacing w:after="0" w:line="182" w:lineRule="exact"/>
              <w:rPr>
                <w:sz w:val="20"/>
                <w:szCs w:val="20"/>
                <w:color w:val="auto"/>
              </w:rPr>
            </w:pPr>
            <w:r>
              <w:rPr>
                <w:rFonts w:ascii="Times New Roman" w:cs="Times New Roman" w:eastAsia="Times New Roman" w:hAnsi="Times New Roman"/>
                <w:sz w:val="18"/>
                <w:szCs w:val="18"/>
                <w:color w:val="auto"/>
              </w:rPr>
              <w:t>Finance</w:t>
            </w:r>
          </w:p>
        </w:tc>
        <w:tc>
          <w:tcPr>
            <w:tcW w:w="16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Operating</w:t>
            </w:r>
          </w:p>
        </w:tc>
      </w:tr>
      <w:tr>
        <w:trPr>
          <w:trHeight w:val="189"/>
        </w:trPr>
        <w:tc>
          <w:tcPr>
            <w:tcW w:w="20" w:type="dxa"/>
            <w:vAlign w:val="bottom"/>
          </w:tcPr>
          <w:p>
            <w:pPr>
              <w:spacing w:after="0"/>
              <w:rPr>
                <w:sz w:val="16"/>
                <w:szCs w:val="16"/>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Pr>
          <w:p>
            <w:pPr>
              <w:spacing w:after="0"/>
              <w:rPr>
                <w:sz w:val="16"/>
                <w:szCs w:val="16"/>
                <w:color w:val="auto"/>
              </w:rPr>
            </w:pPr>
          </w:p>
        </w:tc>
        <w:tc>
          <w:tcPr>
            <w:tcW w:w="1400" w:type="dxa"/>
            <w:vAlign w:val="bottom"/>
            <w:gridSpan w:val="2"/>
          </w:tcPr>
          <w:p>
            <w:pPr>
              <w:jc w:val="center"/>
              <w:ind w:right="420"/>
              <w:spacing w:after="0" w:line="189" w:lineRule="exact"/>
              <w:rPr>
                <w:sz w:val="20"/>
                <w:szCs w:val="20"/>
                <w:color w:val="auto"/>
              </w:rPr>
            </w:pPr>
            <w:r>
              <w:rPr>
                <w:rFonts w:ascii="Times New Roman" w:cs="Times New Roman" w:eastAsia="Times New Roman" w:hAnsi="Times New Roman"/>
                <w:sz w:val="18"/>
                <w:szCs w:val="18"/>
                <w:color w:val="auto"/>
              </w:rPr>
              <w:t>Leases</w:t>
            </w:r>
          </w:p>
        </w:tc>
        <w:tc>
          <w:tcPr>
            <w:tcW w:w="1600" w:type="dxa"/>
            <w:vAlign w:val="bottom"/>
          </w:tcPr>
          <w:p>
            <w:pPr>
              <w:jc w:val="right"/>
              <w:ind w:right="470"/>
              <w:spacing w:after="0" w:line="189" w:lineRule="exact"/>
              <w:rPr>
                <w:sz w:val="20"/>
                <w:szCs w:val="20"/>
                <w:color w:val="auto"/>
              </w:rPr>
            </w:pPr>
            <w:r>
              <w:rPr>
                <w:rFonts w:ascii="Times New Roman" w:cs="Times New Roman" w:eastAsia="Times New Roman" w:hAnsi="Times New Roman"/>
                <w:sz w:val="18"/>
                <w:szCs w:val="18"/>
                <w:color w:val="auto"/>
              </w:rPr>
              <w:t>Leases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4"/>
          </w:tcPr>
          <w:p>
            <w:pPr>
              <w:ind w:left="320"/>
              <w:spacing w:after="0" w:line="189" w:lineRule="exact"/>
              <w:rPr>
                <w:sz w:val="20"/>
                <w:szCs w:val="20"/>
                <w:color w:val="auto"/>
              </w:rPr>
            </w:pPr>
            <w:r>
              <w:rPr>
                <w:rFonts w:ascii="Times New Roman" w:cs="Times New Roman" w:eastAsia="Times New Roman" w:hAnsi="Times New Roman"/>
                <w:sz w:val="18"/>
                <w:szCs w:val="18"/>
                <w:color w:val="auto"/>
              </w:rPr>
              <w:t>Leases</w:t>
            </w:r>
          </w:p>
        </w:tc>
        <w:tc>
          <w:tcPr>
            <w:tcW w:w="16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Leases</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47,892</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42,353</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(19,552)</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(15,332)</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tcPr>
          <w:p>
            <w:pPr>
              <w:spacing w:after="0"/>
              <w:rPr>
                <w:sz w:val="21"/>
                <w:szCs w:val="2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right-of-use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28,340</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45,643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27,021</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48,553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30,559</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50,039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28,808</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52,869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9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years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gridSpan w:val="4"/>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9 years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years</w:t>
            </w:r>
          </w:p>
        </w:tc>
      </w:tr>
      <w:tr>
        <w:trPr>
          <w:trHeight w:val="243"/>
        </w:trPr>
        <w:tc>
          <w:tcPr>
            <w:tcW w:w="20" w:type="dxa"/>
            <w:vAlign w:val="bottom"/>
          </w:tcPr>
          <w:p>
            <w:pPr>
              <w:spacing w:after="0"/>
              <w:rPr>
                <w:sz w:val="21"/>
                <w:szCs w:val="21"/>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55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lease liabilities consist of the following:</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080" w:type="dxa"/>
            <w:vAlign w:val="bottom"/>
            <w:tcBorders>
              <w:bottom w:val="single" w:sz="8" w:color="auto"/>
            </w:tcBorders>
            <w:gridSpan w:val="5"/>
          </w:tcPr>
          <w:p>
            <w:pPr>
              <w:jc w:val="right"/>
              <w:ind w:right="890"/>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4"/>
          </w:tcPr>
          <w:p>
            <w:pPr>
              <w:ind w:left="220"/>
              <w:spacing w:after="0" w:line="182" w:lineRule="exact"/>
              <w:rPr>
                <w:sz w:val="20"/>
                <w:szCs w:val="20"/>
                <w:color w:val="auto"/>
              </w:rPr>
            </w:pPr>
            <w:r>
              <w:rPr>
                <w:rFonts w:ascii="Times New Roman" w:cs="Times New Roman" w:eastAsia="Times New Roman" w:hAnsi="Times New Roman"/>
                <w:sz w:val="18"/>
                <w:szCs w:val="18"/>
                <w:color w:val="auto"/>
              </w:rPr>
              <w:t>Finance</w:t>
            </w:r>
          </w:p>
        </w:tc>
        <w:tc>
          <w:tcPr>
            <w:tcW w:w="16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Operating</w:t>
            </w:r>
          </w:p>
        </w:tc>
      </w:tr>
      <w:tr>
        <w:trPr>
          <w:trHeight w:val="189"/>
        </w:trPr>
        <w:tc>
          <w:tcPr>
            <w:tcW w:w="20" w:type="dxa"/>
            <w:vAlign w:val="bottom"/>
          </w:tcPr>
          <w:p>
            <w:pPr>
              <w:spacing w:after="0"/>
              <w:rPr>
                <w:sz w:val="16"/>
                <w:szCs w:val="16"/>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4"/>
          </w:tcPr>
          <w:p>
            <w:pPr>
              <w:ind w:left="260"/>
              <w:spacing w:after="0" w:line="189" w:lineRule="exact"/>
              <w:rPr>
                <w:sz w:val="20"/>
                <w:szCs w:val="20"/>
                <w:color w:val="auto"/>
              </w:rPr>
            </w:pPr>
            <w:r>
              <w:rPr>
                <w:rFonts w:ascii="Times New Roman" w:cs="Times New Roman" w:eastAsia="Times New Roman" w:hAnsi="Times New Roman"/>
                <w:sz w:val="18"/>
                <w:szCs w:val="18"/>
                <w:color w:val="auto"/>
              </w:rPr>
              <w:t>Leases</w:t>
            </w:r>
          </w:p>
        </w:tc>
        <w:tc>
          <w:tcPr>
            <w:tcW w:w="16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Leases</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within one year</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w:t>
            </w:r>
          </w:p>
        </w:tc>
      </w:tr>
      <w:tr>
        <w:trPr>
          <w:trHeight w:val="243"/>
        </w:trPr>
        <w:tc>
          <w:tcPr>
            <w:tcW w:w="20" w:type="dxa"/>
            <w:vAlign w:val="bottom"/>
          </w:tcPr>
          <w:p>
            <w:pPr>
              <w:spacing w:after="0"/>
              <w:rPr>
                <w:sz w:val="21"/>
                <w:szCs w:val="21"/>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Maturing one year through two years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w:t>
            </w:r>
          </w:p>
        </w:tc>
      </w:tr>
      <w:tr>
        <w:trPr>
          <w:trHeight w:val="243"/>
        </w:trPr>
        <w:tc>
          <w:tcPr>
            <w:tcW w:w="20" w:type="dxa"/>
            <w:vAlign w:val="bottom"/>
            <w:shd w:val="clear" w:color="auto" w:fill="CCEEFF"/>
          </w:tcPr>
          <w:p>
            <w:pPr>
              <w:spacing w:after="0"/>
              <w:rPr>
                <w:sz w:val="21"/>
                <w:szCs w:val="21"/>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two years through three years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w:t>
            </w:r>
          </w:p>
        </w:tc>
      </w:tr>
      <w:tr>
        <w:trPr>
          <w:trHeight w:val="243"/>
        </w:trPr>
        <w:tc>
          <w:tcPr>
            <w:tcW w:w="20" w:type="dxa"/>
            <w:vAlign w:val="bottom"/>
          </w:tcPr>
          <w:p>
            <w:pPr>
              <w:spacing w:after="0"/>
              <w:rPr>
                <w:sz w:val="21"/>
                <w:szCs w:val="21"/>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Maturing three years through four years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w:t>
            </w:r>
          </w:p>
        </w:tc>
      </w:tr>
      <w:tr>
        <w:trPr>
          <w:trHeight w:val="243"/>
        </w:trPr>
        <w:tc>
          <w:tcPr>
            <w:tcW w:w="20" w:type="dxa"/>
            <w:vAlign w:val="bottom"/>
            <w:shd w:val="clear" w:color="auto" w:fill="CCEEFF"/>
          </w:tcPr>
          <w:p>
            <w:pPr>
              <w:spacing w:after="0"/>
              <w:rPr>
                <w:sz w:val="21"/>
                <w:szCs w:val="21"/>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four years through five years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r>
      <w:tr>
        <w:trPr>
          <w:trHeight w:val="243"/>
        </w:trPr>
        <w:tc>
          <w:tcPr>
            <w:tcW w:w="20" w:type="dxa"/>
            <w:vAlign w:val="bottom"/>
            <w:tcBorders>
              <w:bottom w:val="single" w:sz="8" w:color="CCEEFF"/>
            </w:tcBorders>
          </w:tcPr>
          <w:p>
            <w:pPr>
              <w:spacing w:after="0"/>
              <w:rPr>
                <w:sz w:val="21"/>
                <w:szCs w:val="21"/>
                <w:color w:val="auto"/>
              </w:rPr>
            </w:pPr>
          </w:p>
        </w:tc>
        <w:tc>
          <w:tcPr>
            <w:tcW w:w="4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35,121</w:t>
            </w:r>
          </w:p>
        </w:tc>
      </w:tr>
      <w:tr>
        <w:trPr>
          <w:trHeight w:val="237"/>
        </w:trPr>
        <w:tc>
          <w:tcPr>
            <w:tcW w:w="2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35,676</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66,062</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43"/>
        </w:trPr>
        <w:tc>
          <w:tcPr>
            <w:tcW w:w="20" w:type="dxa"/>
            <w:vAlign w:val="bottom"/>
            <w:shd w:val="clear" w:color="auto" w:fill="CCEEFF"/>
          </w:tcPr>
          <w:p>
            <w:pPr>
              <w:spacing w:after="0"/>
              <w:rPr>
                <w:sz w:val="21"/>
                <w:szCs w:val="21"/>
                <w:color w:val="auto"/>
              </w:rPr>
            </w:pPr>
          </w:p>
        </w:tc>
        <w:tc>
          <w:tcPr>
            <w:tcW w:w="4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Short-term</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w:t>
            </w:r>
          </w:p>
        </w:tc>
      </w:tr>
      <w:tr>
        <w:trPr>
          <w:trHeight w:val="243"/>
        </w:trPr>
        <w:tc>
          <w:tcPr>
            <w:tcW w:w="20" w:type="dxa"/>
            <w:vAlign w:val="bottom"/>
            <w:tcBorders>
              <w:bottom w:val="single" w:sz="8" w:color="CCEEFF"/>
            </w:tcBorders>
          </w:tcPr>
          <w:p>
            <w:pPr>
              <w:spacing w:after="0"/>
              <w:rPr>
                <w:sz w:val="21"/>
                <w:szCs w:val="21"/>
                <w:color w:val="auto"/>
              </w:rPr>
            </w:pPr>
          </w:p>
        </w:tc>
        <w:tc>
          <w:tcPr>
            <w:tcW w:w="45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Long-term</w:t>
            </w:r>
          </w:p>
        </w:tc>
        <w:tc>
          <w:tcPr>
            <w:tcW w:w="3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24,808</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44,283</w:t>
            </w:r>
          </w:p>
        </w:tc>
      </w:tr>
      <w:tr>
        <w:trPr>
          <w:trHeight w:val="237"/>
        </w:trPr>
        <w:tc>
          <w:tcPr>
            <w:tcW w:w="20" w:type="dxa"/>
            <w:vAlign w:val="bottom"/>
            <w:shd w:val="clear" w:color="auto" w:fill="CCEEFF"/>
          </w:tcPr>
          <w:p>
            <w:pPr>
              <w:spacing w:after="0"/>
              <w:rPr>
                <w:sz w:val="20"/>
                <w:szCs w:val="20"/>
                <w:color w:val="auto"/>
              </w:rPr>
            </w:pPr>
          </w:p>
        </w:tc>
        <w:tc>
          <w:tcPr>
            <w:tcW w:w="45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present value of lease payments</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30,559</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50,039</w:t>
            </w:r>
          </w:p>
        </w:tc>
      </w:tr>
      <w:tr>
        <w:trPr>
          <w:trHeight w:val="236"/>
        </w:trPr>
        <w:tc>
          <w:tcPr>
            <w:tcW w:w="20" w:type="dxa"/>
            <w:vAlign w:val="bottom"/>
          </w:tcPr>
          <w:p>
            <w:pPr>
              <w:spacing w:after="0"/>
              <w:rPr>
                <w:sz w:val="20"/>
                <w:szCs w:val="20"/>
                <w:color w:val="auto"/>
              </w:rPr>
            </w:pPr>
          </w:p>
        </w:tc>
        <w:tc>
          <w:tcPr>
            <w:tcW w:w="6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Difference between lease payments and present value of lease payments</w:t>
            </w:r>
          </w:p>
        </w:tc>
        <w:tc>
          <w:tcPr>
            <w:tcW w:w="1600" w:type="dxa"/>
            <w:vAlign w:val="bottom"/>
          </w:tcPr>
          <w:p>
            <w:pPr>
              <w:spacing w:after="0"/>
              <w:rPr>
                <w:sz w:val="20"/>
                <w:szCs w:val="20"/>
                <w:color w:val="auto"/>
              </w:rPr>
            </w:pPr>
          </w:p>
        </w:tc>
        <w:tc>
          <w:tcPr>
            <w:tcW w:w="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16,023</w:t>
            </w: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included in other expenses on the unaudited condensed consolidated statements of operations consist of the following: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20"/>
                <w:szCs w:val="20"/>
                <w:color w:val="auto"/>
              </w:rPr>
            </w:pPr>
          </w:p>
        </w:tc>
        <w:tc>
          <w:tcPr>
            <w:tcW w:w="318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1"/>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720" w:type="dxa"/>
            <w:vAlign w:val="bottom"/>
            <w:gridSpan w:val="2"/>
          </w:tcPr>
          <w:p>
            <w:pPr>
              <w:ind w:left="30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640" w:type="dxa"/>
            <w:vAlign w:val="bottom"/>
            <w:gridSpan w:val="2"/>
          </w:tcPr>
          <w:p>
            <w:pPr>
              <w:ind w:left="26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5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September 30,</w:t>
            </w:r>
          </w:p>
        </w:tc>
      </w:tr>
      <w:tr>
        <w:trPr>
          <w:trHeight w:val="180"/>
        </w:trPr>
        <w:tc>
          <w:tcPr>
            <w:tcW w:w="20" w:type="dxa"/>
            <w:vAlign w:val="bottom"/>
          </w:tcPr>
          <w:p>
            <w:pPr>
              <w:spacing w:after="0"/>
              <w:rPr>
                <w:sz w:val="15"/>
                <w:szCs w:val="15"/>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5"/>
                <w:szCs w:val="15"/>
                <w:color w:val="auto"/>
              </w:rPr>
            </w:pPr>
          </w:p>
        </w:tc>
        <w:tc>
          <w:tcPr>
            <w:tcW w:w="1440" w:type="dxa"/>
            <w:vAlign w:val="bottom"/>
          </w:tcPr>
          <w:p>
            <w:pPr>
              <w:jc w:val="right"/>
              <w:ind w:right="550"/>
              <w:spacing w:after="0" w:line="160"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5"/>
                <w:szCs w:val="15"/>
                <w:color w:val="auto"/>
              </w:rPr>
            </w:pPr>
          </w:p>
        </w:tc>
        <w:tc>
          <w:tcPr>
            <w:tcW w:w="1640" w:type="dxa"/>
            <w:vAlign w:val="bottom"/>
          </w:tcPr>
          <w:p>
            <w:pPr>
              <w:jc w:val="right"/>
              <w:ind w:right="550"/>
              <w:spacing w:after="0" w:line="160" w:lineRule="exact"/>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5"/>
                <w:szCs w:val="15"/>
                <w:color w:val="auto"/>
              </w:rPr>
            </w:pPr>
          </w:p>
        </w:tc>
        <w:tc>
          <w:tcPr>
            <w:tcW w:w="1540" w:type="dxa"/>
            <w:vAlign w:val="bottom"/>
          </w:tcPr>
          <w:p>
            <w:pPr>
              <w:jc w:val="right"/>
              <w:ind w:right="490"/>
              <w:spacing w:after="0" w:line="160"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5"/>
                <w:szCs w:val="15"/>
                <w:color w:val="auto"/>
              </w:rPr>
            </w:pPr>
          </w:p>
        </w:tc>
        <w:tc>
          <w:tcPr>
            <w:tcW w:w="1540" w:type="dxa"/>
            <w:vAlign w:val="bottom"/>
          </w:tcPr>
          <w:p>
            <w:pPr>
              <w:jc w:val="right"/>
              <w:ind w:right="490"/>
              <w:spacing w:after="0" w:line="160"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r>
      <w:tr>
        <w:trPr>
          <w:trHeight w:val="243"/>
        </w:trPr>
        <w:tc>
          <w:tcPr>
            <w:tcW w:w="20" w:type="dxa"/>
            <w:vAlign w:val="bottom"/>
            <w:shd w:val="clear" w:color="auto" w:fill="CCEEFF"/>
          </w:tcPr>
          <w:p>
            <w:pPr>
              <w:spacing w:after="0"/>
              <w:rPr>
                <w:sz w:val="21"/>
                <w:szCs w:val="21"/>
                <w:color w:val="auto"/>
              </w:rPr>
            </w:pPr>
          </w:p>
        </w:tc>
        <w:tc>
          <w:tcPr>
            <w:tcW w:w="4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43"/>
        </w:trPr>
        <w:tc>
          <w:tcPr>
            <w:tcW w:w="2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r>
      <w:tr>
        <w:trPr>
          <w:trHeight w:val="243"/>
        </w:trPr>
        <w:tc>
          <w:tcPr>
            <w:tcW w:w="20" w:type="dxa"/>
            <w:vAlign w:val="bottom"/>
            <w:shd w:val="clear" w:color="auto" w:fill="CCEEFF"/>
          </w:tcPr>
          <w:p>
            <w:pPr>
              <w:spacing w:after="0"/>
              <w:rPr>
                <w:sz w:val="21"/>
                <w:szCs w:val="21"/>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43"/>
        </w:trPr>
        <w:tc>
          <w:tcPr>
            <w:tcW w:w="2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43"/>
        </w:trPr>
        <w:tc>
          <w:tcPr>
            <w:tcW w:w="20" w:type="dxa"/>
            <w:vAlign w:val="bottom"/>
            <w:shd w:val="clear" w:color="auto" w:fill="CCEEFF"/>
          </w:tcPr>
          <w:p>
            <w:pPr>
              <w:spacing w:after="0"/>
              <w:rPr>
                <w:sz w:val="21"/>
                <w:szCs w:val="21"/>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7"/>
        </w:trPr>
        <w:tc>
          <w:tcPr>
            <w:tcW w:w="20" w:type="dxa"/>
            <w:vAlign w:val="bottom"/>
          </w:tcPr>
          <w:p>
            <w:pPr>
              <w:spacing w:after="0"/>
              <w:rPr>
                <w:sz w:val="20"/>
                <w:szCs w:val="20"/>
                <w:color w:val="auto"/>
              </w:rPr>
            </w:pPr>
          </w:p>
        </w:tc>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lease expense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8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9,936</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7"/>
          </w:tcPr>
          <w:p>
            <w:pPr>
              <w:ind w:left="520"/>
              <w:spacing w:after="0"/>
              <w:rPr>
                <w:sz w:val="20"/>
                <w:szCs w:val="20"/>
                <w:color w:val="auto"/>
              </w:rPr>
            </w:pPr>
            <w:r>
              <w:rPr>
                <w:rFonts w:ascii="Times New Roman" w:cs="Times New Roman" w:eastAsia="Times New Roman" w:hAnsi="Times New Roman"/>
                <w:sz w:val="18"/>
                <w:szCs w:val="18"/>
                <w:color w:val="auto"/>
              </w:rPr>
              <w:t>Three Months ended</w:t>
            </w:r>
          </w:p>
        </w:tc>
        <w:tc>
          <w:tcPr>
            <w:tcW w:w="1240" w:type="dxa"/>
            <w:vAlign w:val="bottom"/>
            <w:tcBorders>
              <w:bottom w:val="single" w:sz="8" w:color="auto"/>
            </w:tcBorders>
          </w:tcPr>
          <w:p>
            <w:pPr>
              <w:spacing w:after="0"/>
              <w:rPr>
                <w:sz w:val="23"/>
                <w:szCs w:val="23"/>
                <w:color w:val="auto"/>
              </w:rPr>
            </w:pPr>
          </w:p>
        </w:tc>
      </w:tr>
      <w:tr>
        <w:trPr>
          <w:trHeight w:val="236"/>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color w:val="auto"/>
              </w:rPr>
              <w:t>September 30, 2026</w:t>
            </w:r>
          </w:p>
        </w:tc>
        <w:tc>
          <w:tcPr>
            <w:tcW w:w="10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3"/>
          </w:tcPr>
          <w:p>
            <w:pPr>
              <w:ind w:left="80"/>
              <w:spacing w:after="0" w:line="182" w:lineRule="exact"/>
              <w:rPr>
                <w:sz w:val="20"/>
                <w:szCs w:val="20"/>
                <w:color w:val="auto"/>
              </w:rPr>
            </w:pPr>
            <w:r>
              <w:rPr>
                <w:rFonts w:ascii="Times New Roman" w:cs="Times New Roman" w:eastAsia="Times New Roman" w:hAnsi="Times New Roman"/>
                <w:sz w:val="18"/>
                <w:szCs w:val="18"/>
                <w:color w:val="auto"/>
              </w:rPr>
              <w:t>Finance</w:t>
            </w:r>
          </w:p>
        </w:tc>
        <w:tc>
          <w:tcPr>
            <w:tcW w:w="20" w:type="dxa"/>
            <w:vAlign w:val="bottom"/>
          </w:tcPr>
          <w:p>
            <w:pPr>
              <w:spacing w:after="0"/>
              <w:rPr>
                <w:sz w:val="15"/>
                <w:szCs w:val="15"/>
                <w:color w:val="auto"/>
              </w:rPr>
            </w:pPr>
          </w:p>
        </w:tc>
        <w:tc>
          <w:tcPr>
            <w:tcW w:w="1320" w:type="dxa"/>
            <w:vAlign w:val="bottom"/>
            <w:gridSpan w:val="3"/>
          </w:tcPr>
          <w:p>
            <w:pPr>
              <w:jc w:val="center"/>
              <w:ind w:right="120"/>
              <w:spacing w:after="0" w:line="182" w:lineRule="exact"/>
              <w:rPr>
                <w:sz w:val="20"/>
                <w:szCs w:val="20"/>
                <w:color w:val="auto"/>
              </w:rPr>
            </w:pPr>
            <w:r>
              <w:rPr>
                <w:rFonts w:ascii="Times New Roman" w:cs="Times New Roman" w:eastAsia="Times New Roman" w:hAnsi="Times New Roman"/>
                <w:sz w:val="18"/>
                <w:szCs w:val="18"/>
                <w:color w:val="auto"/>
                <w:w w:val="99"/>
              </w:rPr>
              <w:t>Operating</w:t>
            </w:r>
          </w:p>
        </w:tc>
        <w:tc>
          <w:tcPr>
            <w:tcW w:w="20" w:type="dxa"/>
            <w:vAlign w:val="bottom"/>
          </w:tcPr>
          <w:p>
            <w:pPr>
              <w:spacing w:after="0"/>
              <w:rPr>
                <w:sz w:val="15"/>
                <w:szCs w:val="15"/>
                <w:color w:val="auto"/>
              </w:rPr>
            </w:pPr>
          </w:p>
        </w:tc>
        <w:tc>
          <w:tcPr>
            <w:tcW w:w="1340" w:type="dxa"/>
            <w:vAlign w:val="bottom"/>
            <w:gridSpan w:val="3"/>
          </w:tcPr>
          <w:p>
            <w:pPr>
              <w:jc w:val="center"/>
              <w:ind w:right="120"/>
              <w:spacing w:after="0" w:line="182" w:lineRule="exact"/>
              <w:rPr>
                <w:sz w:val="20"/>
                <w:szCs w:val="20"/>
                <w:color w:val="auto"/>
              </w:rPr>
            </w:pPr>
            <w:r>
              <w:rPr>
                <w:rFonts w:ascii="Times New Roman" w:cs="Times New Roman" w:eastAsia="Times New Roman" w:hAnsi="Times New Roman"/>
                <w:sz w:val="18"/>
                <w:szCs w:val="18"/>
                <w:color w:val="auto"/>
              </w:rPr>
              <w:t>Finance</w:t>
            </w:r>
          </w:p>
        </w:tc>
        <w:tc>
          <w:tcPr>
            <w:tcW w:w="12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Operating</w:t>
            </w:r>
          </w:p>
        </w:tc>
      </w:tr>
      <w:tr>
        <w:trPr>
          <w:trHeight w:val="189"/>
        </w:trPr>
        <w:tc>
          <w:tcPr>
            <w:tcW w:w="20" w:type="dxa"/>
            <w:vAlign w:val="bottom"/>
          </w:tcPr>
          <w:p>
            <w:pPr>
              <w:spacing w:after="0"/>
              <w:rPr>
                <w:sz w:val="16"/>
                <w:szCs w:val="16"/>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Leases</w:t>
            </w:r>
          </w:p>
        </w:tc>
        <w:tc>
          <w:tcPr>
            <w:tcW w:w="20" w:type="dxa"/>
            <w:vAlign w:val="bottom"/>
          </w:tcPr>
          <w:p>
            <w:pPr>
              <w:spacing w:after="0"/>
              <w:rPr>
                <w:sz w:val="16"/>
                <w:szCs w:val="16"/>
                <w:color w:val="auto"/>
              </w:rPr>
            </w:pPr>
          </w:p>
        </w:tc>
        <w:tc>
          <w:tcPr>
            <w:tcW w:w="1320" w:type="dxa"/>
            <w:vAlign w:val="bottom"/>
            <w:gridSpan w:val="3"/>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w w:val="97"/>
              </w:rPr>
              <w:t>Leases</w:t>
            </w:r>
          </w:p>
        </w:tc>
        <w:tc>
          <w:tcPr>
            <w:tcW w:w="20" w:type="dxa"/>
            <w:vAlign w:val="bottom"/>
          </w:tcPr>
          <w:p>
            <w:pPr>
              <w:spacing w:after="0"/>
              <w:rPr>
                <w:sz w:val="16"/>
                <w:szCs w:val="16"/>
                <w:color w:val="auto"/>
              </w:rPr>
            </w:pPr>
          </w:p>
        </w:tc>
        <w:tc>
          <w:tcPr>
            <w:tcW w:w="1340" w:type="dxa"/>
            <w:vAlign w:val="bottom"/>
            <w:gridSpan w:val="3"/>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rPr>
              <w:t>Leases</w:t>
            </w:r>
          </w:p>
        </w:tc>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Leases</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cash flows</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43"/>
        </w:trPr>
        <w:tc>
          <w:tcPr>
            <w:tcW w:w="20" w:type="dxa"/>
            <w:vAlign w:val="bottom"/>
            <w:shd w:val="clear" w:color="auto" w:fill="CCEEFF"/>
          </w:tcPr>
          <w:p>
            <w:pPr>
              <w:spacing w:after="0"/>
              <w:rPr>
                <w:sz w:val="21"/>
                <w:szCs w:val="21"/>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Financing cash flows</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608"/>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ind w:left="600"/>
              <w:spacing w:after="0"/>
              <w:rPr>
                <w:sz w:val="20"/>
                <w:szCs w:val="20"/>
                <w:color w:val="auto"/>
              </w:rPr>
            </w:pPr>
            <w:r>
              <w:rPr>
                <w:rFonts w:ascii="Times New Roman" w:cs="Times New Roman" w:eastAsia="Times New Roman" w:hAnsi="Times New Roman"/>
                <w:sz w:val="18"/>
                <w:szCs w:val="18"/>
                <w:color w:val="auto"/>
              </w:rPr>
              <w:t>Nine Months ended</w:t>
            </w:r>
          </w:p>
        </w:tc>
        <w:tc>
          <w:tcPr>
            <w:tcW w:w="1240" w:type="dxa"/>
            <w:vAlign w:val="bottom"/>
            <w:tcBorders>
              <w:bottom w:val="single" w:sz="8" w:color="auto"/>
            </w:tcBorders>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8"/>
                <w:szCs w:val="18"/>
                <w:color w:val="auto"/>
              </w:rPr>
              <w:t>September 30, 2026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3"/>
          </w:tcPr>
          <w:p>
            <w:pPr>
              <w:ind w:left="140"/>
              <w:spacing w:after="0" w:line="182" w:lineRule="exact"/>
              <w:rPr>
                <w:sz w:val="20"/>
                <w:szCs w:val="20"/>
                <w:color w:val="auto"/>
              </w:rPr>
            </w:pPr>
            <w:r>
              <w:rPr>
                <w:rFonts w:ascii="Times New Roman" w:cs="Times New Roman" w:eastAsia="Times New Roman" w:hAnsi="Times New Roman"/>
                <w:sz w:val="18"/>
                <w:szCs w:val="18"/>
                <w:color w:val="auto"/>
              </w:rPr>
              <w:t>Finance</w:t>
            </w:r>
          </w:p>
        </w:tc>
        <w:tc>
          <w:tcPr>
            <w:tcW w:w="20" w:type="dxa"/>
            <w:vAlign w:val="bottom"/>
          </w:tcPr>
          <w:p>
            <w:pPr>
              <w:spacing w:after="0"/>
              <w:rPr>
                <w:sz w:val="15"/>
                <w:szCs w:val="15"/>
                <w:color w:val="auto"/>
              </w:rPr>
            </w:pPr>
          </w:p>
        </w:tc>
        <w:tc>
          <w:tcPr>
            <w:tcW w:w="1320" w:type="dxa"/>
            <w:vAlign w:val="bottom"/>
            <w:gridSpan w:val="3"/>
          </w:tcPr>
          <w:p>
            <w:pPr>
              <w:jc w:val="center"/>
              <w:ind w:right="80"/>
              <w:spacing w:after="0" w:line="182" w:lineRule="exact"/>
              <w:rPr>
                <w:sz w:val="20"/>
                <w:szCs w:val="20"/>
                <w:color w:val="auto"/>
              </w:rPr>
            </w:pPr>
            <w:r>
              <w:rPr>
                <w:rFonts w:ascii="Times New Roman" w:cs="Times New Roman" w:eastAsia="Times New Roman" w:hAnsi="Times New Roman"/>
                <w:sz w:val="18"/>
                <w:szCs w:val="18"/>
                <w:color w:val="auto"/>
                <w:w w:val="99"/>
              </w:rPr>
              <w:t>Operating</w:t>
            </w:r>
          </w:p>
        </w:tc>
        <w:tc>
          <w:tcPr>
            <w:tcW w:w="20" w:type="dxa"/>
            <w:vAlign w:val="bottom"/>
          </w:tcPr>
          <w:p>
            <w:pPr>
              <w:spacing w:after="0"/>
              <w:rPr>
                <w:sz w:val="15"/>
                <w:szCs w:val="15"/>
                <w:color w:val="auto"/>
              </w:rPr>
            </w:pPr>
          </w:p>
        </w:tc>
        <w:tc>
          <w:tcPr>
            <w:tcW w:w="1340" w:type="dxa"/>
            <w:vAlign w:val="bottom"/>
            <w:gridSpan w:val="3"/>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w w:val="98"/>
              </w:rPr>
              <w:t>Finance</w:t>
            </w:r>
          </w:p>
        </w:tc>
        <w:tc>
          <w:tcPr>
            <w:tcW w:w="12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Operating</w:t>
            </w:r>
          </w:p>
        </w:tc>
      </w:tr>
      <w:tr>
        <w:trPr>
          <w:trHeight w:val="189"/>
        </w:trPr>
        <w:tc>
          <w:tcPr>
            <w:tcW w:w="20" w:type="dxa"/>
            <w:vAlign w:val="bottom"/>
          </w:tcPr>
          <w:p>
            <w:pPr>
              <w:spacing w:after="0"/>
              <w:rPr>
                <w:sz w:val="16"/>
                <w:szCs w:val="16"/>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ind w:left="180"/>
              <w:spacing w:after="0" w:line="189" w:lineRule="exact"/>
              <w:rPr>
                <w:sz w:val="20"/>
                <w:szCs w:val="20"/>
                <w:color w:val="auto"/>
              </w:rPr>
            </w:pPr>
            <w:r>
              <w:rPr>
                <w:rFonts w:ascii="Times New Roman" w:cs="Times New Roman" w:eastAsia="Times New Roman" w:hAnsi="Times New Roman"/>
                <w:sz w:val="18"/>
                <w:szCs w:val="18"/>
                <w:color w:val="auto"/>
              </w:rPr>
              <w:t>Leases</w:t>
            </w:r>
          </w:p>
        </w:tc>
        <w:tc>
          <w:tcPr>
            <w:tcW w:w="20" w:type="dxa"/>
            <w:vAlign w:val="bottom"/>
          </w:tcPr>
          <w:p>
            <w:pPr>
              <w:spacing w:after="0"/>
              <w:rPr>
                <w:sz w:val="16"/>
                <w:szCs w:val="16"/>
                <w:color w:val="auto"/>
              </w:rPr>
            </w:pPr>
          </w:p>
        </w:tc>
        <w:tc>
          <w:tcPr>
            <w:tcW w:w="1320" w:type="dxa"/>
            <w:vAlign w:val="bottom"/>
            <w:gridSpan w:val="3"/>
          </w:tcPr>
          <w:p>
            <w:pPr>
              <w:jc w:val="center"/>
              <w:ind w:right="60"/>
              <w:spacing w:after="0" w:line="189" w:lineRule="exact"/>
              <w:rPr>
                <w:sz w:val="20"/>
                <w:szCs w:val="20"/>
                <w:color w:val="auto"/>
              </w:rPr>
            </w:pPr>
            <w:r>
              <w:rPr>
                <w:rFonts w:ascii="Times New Roman" w:cs="Times New Roman" w:eastAsia="Times New Roman" w:hAnsi="Times New Roman"/>
                <w:sz w:val="18"/>
                <w:szCs w:val="18"/>
                <w:color w:val="auto"/>
              </w:rPr>
              <w:t>Leases</w:t>
            </w:r>
          </w:p>
        </w:tc>
        <w:tc>
          <w:tcPr>
            <w:tcW w:w="20" w:type="dxa"/>
            <w:vAlign w:val="bottom"/>
          </w:tcPr>
          <w:p>
            <w:pPr>
              <w:spacing w:after="0"/>
              <w:rPr>
                <w:sz w:val="16"/>
                <w:szCs w:val="16"/>
                <w:color w:val="auto"/>
              </w:rPr>
            </w:pPr>
          </w:p>
        </w:tc>
        <w:tc>
          <w:tcPr>
            <w:tcW w:w="134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7"/>
              </w:rPr>
              <w:t>Leases</w:t>
            </w:r>
          </w:p>
        </w:tc>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Leases</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cash flows</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r>
      <w:tr>
        <w:trPr>
          <w:trHeight w:val="243"/>
        </w:trPr>
        <w:tc>
          <w:tcPr>
            <w:tcW w:w="20" w:type="dxa"/>
            <w:vAlign w:val="bottom"/>
            <w:shd w:val="clear" w:color="auto" w:fill="CCEEFF"/>
          </w:tcPr>
          <w:p>
            <w:pPr>
              <w:spacing w:after="0"/>
              <w:rPr>
                <w:sz w:val="21"/>
                <w:szCs w:val="21"/>
                <w:color w:val="auto"/>
              </w:rPr>
            </w:pPr>
          </w:p>
        </w:tc>
        <w:tc>
          <w:tcPr>
            <w:tcW w:w="5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Financing cash flows</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97"/>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1"/>
        </w:trPr>
        <w:tc>
          <w:tcPr>
            <w:tcW w:w="5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N/A - Not applicable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leases office space to third parties through operating leases. Rent income from these leases for the nine months ended September 30, 2026 and 2025 was $2,503,000 and $1,143,000, respectively, and is recorded in other income within non-interest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schedule discloses the changes in the carrying value of goodwill:</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0"/>
                <w:szCs w:val="20"/>
                <w:color w:val="auto"/>
              </w:rPr>
            </w:pPr>
          </w:p>
        </w:tc>
        <w:tc>
          <w:tcPr>
            <w:tcW w:w="298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740" w:type="dxa"/>
            <w:vAlign w:val="bottom"/>
            <w:gridSpan w:val="2"/>
          </w:tcPr>
          <w:p>
            <w:pPr>
              <w:ind w:left="30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54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44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September 30,</w:t>
            </w:r>
          </w:p>
        </w:tc>
      </w:tr>
      <w:tr>
        <w:trPr>
          <w:trHeight w:val="189"/>
        </w:trPr>
        <w:tc>
          <w:tcPr>
            <w:tcW w:w="20" w:type="dxa"/>
            <w:vAlign w:val="bottom"/>
          </w:tcPr>
          <w:p>
            <w:pPr>
              <w:spacing w:after="0"/>
              <w:rPr>
                <w:sz w:val="16"/>
                <w:szCs w:val="16"/>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1420" w:type="dxa"/>
            <w:vAlign w:val="bottom"/>
          </w:tcPr>
          <w:p>
            <w:pPr>
              <w:jc w:val="right"/>
              <w:ind w:right="53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6"/>
                <w:szCs w:val="16"/>
                <w:color w:val="auto"/>
              </w:rPr>
            </w:pPr>
          </w:p>
        </w:tc>
        <w:tc>
          <w:tcPr>
            <w:tcW w:w="164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6"/>
                <w:szCs w:val="16"/>
                <w:color w:val="auto"/>
              </w:rPr>
            </w:pPr>
          </w:p>
        </w:tc>
        <w:tc>
          <w:tcPr>
            <w:tcW w:w="1440" w:type="dxa"/>
            <w:vAlign w:val="bottom"/>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440" w:type="dxa"/>
            <w:vAlign w:val="bottom"/>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value at beginning of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1,378,283</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1,121,401</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1,378,283</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1,051,318</w:t>
            </w:r>
          </w:p>
        </w:tc>
      </w:tr>
      <w:tr>
        <w:trPr>
          <w:trHeight w:val="243"/>
        </w:trPr>
        <w:tc>
          <w:tcPr>
            <w:tcW w:w="20" w:type="dxa"/>
            <w:vAlign w:val="bottom"/>
          </w:tcPr>
          <w:p>
            <w:pPr>
              <w:spacing w:after="0"/>
              <w:rPr>
                <w:sz w:val="21"/>
                <w:szCs w:val="21"/>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 and adjustments</w:t>
            </w:r>
          </w:p>
        </w:tc>
        <w:tc>
          <w:tcPr>
            <w:tcW w:w="20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70,083</w:t>
            </w:r>
          </w:p>
        </w:tc>
      </w:tr>
      <w:tr>
        <w:trPr>
          <w:trHeight w:val="262"/>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476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carrying value at end of period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1,378,283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performed its annual goodwill impairment test during the third quarter of 2026 and determined the fair value of the aggregated reporting units exceeded the carrying value, such that the Company’s goodwill was not considered impaired. Changes in the economic environment, operations of the aggregated reporting units, or other factors could result in the decline in the fair value of the aggregated reporting units which could result in a goodwill impairment in the future.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Loan Servicing</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loans that are serviced for others are not reported as assets, as only the servicing rights are recorded and included in other assets. The following schedules disclose the change in the carrying value of mortgage servicing rights that are included in other assets, principal balances of loans serviced and the fair value of mortgage servicing rights: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w:t>
            </w: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w:t>
            </w:r>
          </w:p>
        </w:tc>
      </w:tr>
      <w:tr>
        <w:trPr>
          <w:trHeight w:val="189"/>
        </w:trPr>
        <w:tc>
          <w:tcPr>
            <w:tcW w:w="20" w:type="dxa"/>
            <w:vAlign w:val="bottom"/>
          </w:tcPr>
          <w:p>
            <w:pPr>
              <w:spacing w:after="0"/>
              <w:rPr>
                <w:sz w:val="16"/>
                <w:szCs w:val="16"/>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6"/>
                <w:szCs w:val="16"/>
                <w:color w:val="auto"/>
              </w:rPr>
            </w:pPr>
          </w:p>
        </w:tc>
        <w:tc>
          <w:tcPr>
            <w:tcW w:w="1340" w:type="dxa"/>
            <w:vAlign w:val="bottom"/>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6"/>
                <w:szCs w:val="16"/>
                <w:color w:val="auto"/>
              </w:rPr>
            </w:pPr>
          </w:p>
        </w:tc>
        <w:tc>
          <w:tcPr>
            <w:tcW w:w="1520" w:type="dxa"/>
            <w:vAlign w:val="bottom"/>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11,779</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11,958</w:t>
            </w:r>
          </w:p>
        </w:tc>
      </w:tr>
      <w:tr>
        <w:trPr>
          <w:trHeight w:val="243"/>
        </w:trPr>
        <w:tc>
          <w:tcPr>
            <w:tcW w:w="20" w:type="dxa"/>
            <w:vAlign w:val="bottom"/>
          </w:tcPr>
          <w:p>
            <w:pPr>
              <w:spacing w:after="0"/>
              <w:rPr>
                <w:sz w:val="21"/>
                <w:szCs w:val="21"/>
                <w:color w:val="auto"/>
              </w:rPr>
            </w:pPr>
          </w:p>
        </w:tc>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43"/>
        </w:trPr>
        <w:tc>
          <w:tcPr>
            <w:tcW w:w="20" w:type="dxa"/>
            <w:vAlign w:val="bottom"/>
            <w:shd w:val="clear" w:color="auto" w:fill="CCEEFF"/>
          </w:tcPr>
          <w:p>
            <w:pPr>
              <w:spacing w:after="0"/>
              <w:rPr>
                <w:sz w:val="21"/>
                <w:szCs w:val="21"/>
                <w:color w:val="auto"/>
              </w:rPr>
            </w:pPr>
          </w:p>
        </w:tc>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37"/>
        </w:trPr>
        <w:tc>
          <w:tcPr>
            <w:tcW w:w="20" w:type="dxa"/>
            <w:vAlign w:val="bottom"/>
          </w:tcPr>
          <w:p>
            <w:pPr>
              <w:spacing w:after="0"/>
              <w:rPr>
                <w:sz w:val="20"/>
                <w:szCs w:val="20"/>
                <w:color w:val="auto"/>
              </w:rPr>
            </w:pPr>
          </w:p>
        </w:tc>
        <w:tc>
          <w:tcPr>
            <w:tcW w:w="8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Carrying value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12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balances of loans serviced for others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1,470,903</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1,470,673</w:t>
            </w:r>
          </w:p>
        </w:tc>
      </w:tr>
      <w:tr>
        <w:trPr>
          <w:trHeight w:val="243"/>
        </w:trPr>
        <w:tc>
          <w:tcPr>
            <w:tcW w:w="20" w:type="dxa"/>
            <w:vAlign w:val="bottom"/>
          </w:tcPr>
          <w:p>
            <w:pPr>
              <w:spacing w:after="0"/>
              <w:rPr>
                <w:sz w:val="21"/>
                <w:szCs w:val="21"/>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servicing rights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17,848</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16,489</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Variable Interest Entities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VIE is a partnership, limited liability company, trust or other legal entity that meets one of the following criteria: 1) the entity’s equity investment at risk is not sufficient to permit the entity to finance its activities without additional subordinated financial support from other parties; 2) the holders of the equity investment at risk, as a group, lack the characteristics of a controlling financial interest; and 3) the voting rights of some holders of the equity investment at risk are disproportionate to their obligation to absorb losses or receive returns, and substantially all of the activities are conducted on behalf of the holder of equity investment at risk with disproportionately few voting rights. A VIE must be consolidated by the Company if it is deemed to be the primary beneficiary, which is the party involved with the VIE that has both: 1) the power to direct the activities of the VIE that most significantly affect the VIE’s economic performance; and 2) the obligation to absorb the losses of the VIE that could potentially be significant to the VIE or the right to receive benefits from the VIE that could potentially be significant to the VIE.</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VIEs are regularly monitored to determine if any reconsideration events have occurred that could cause the primary beneficiary status to change. A previously unconsolidated VIE is consolidated when the Company becomes the primary beneficiary. A previously consolidated VIE is deconsolidated when the Company ceases to be the primary beneficiary or the entity is no longer a VIE.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Variable Interest Entities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equity investments in Certified Development Entities (“CDE”) which have received allocations of New Markets Tax Credits (“NMTC”). The NMTC program provides federal tax incentives to investors to make investments in distressed communities and promotes economic improvements through the development of successful businesses in these communities. The NMTC is available to investors over seven years and is subject to recapture if certain events occur during such period. The maximum exposure to loss in the CDEs is the amount of equity invested, tax credit recapture, and credit extended by the Company. However, the Company has credit protection in the form of indemnification agreements, guarantees, and collateral arrangements. The Company has evaluated the variable interests held by the Company in each CDE (NMTC) investment and determined the Company does not individually meet the characteristics of a primary beneficiary; however, the related-party group does meet the criteria as a group and substantially all of the activities of the CDEs either involve or are conducted on behalf of the Company. As a result, the Company is the primary beneficiary of the CDEs and their assets, liabilities, and results of operations are included in the Company’s unaudited condensed consolidated financial statements. The primary activities of the CDEs are recognized in commercial loans interest income and other borrowed funds interest expense on the Company’s unaudited condensed consolidated statements of operations and the federal income tax credit allocations from the investments are recognized in the Company’s unaudited condensed consolidated statements of operations as a component of income tax expense. Such related cash flows are recognized in loans originated, principal collected on loans and change in other borrowed funds.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 is also the sole member of certain tax credit funds that make direct investments in qualified affordable housing projects (e.g., Low-Income Housing Tax Credit [“LIHTC”] partnerships). As such, the Company is the primary beneficiary of these tax credit funds and their assets, liabilities, and results of operations are included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carrying amounts of the consolidated VIEs’ assets and liabilities included in the Company’s unaudited condensed consolidated statements of financial condition and are adjusted for intercompany eliminations. All assets presented can be used only to settle obligations of the consolidated VIEs and all liabilities presented consist of liabilities for which creditors and other beneficial interest holders therein have no recourse to the general credit of the Company.</w:t>
      </w: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September 30,</w:t>
            </w:r>
          </w:p>
        </w:tc>
        <w:tc>
          <w:tcPr>
            <w:tcW w:w="164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144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6"/>
                <w:szCs w:val="16"/>
                <w:color w:val="auto"/>
              </w:rPr>
            </w:pPr>
          </w:p>
        </w:tc>
        <w:tc>
          <w:tcPr>
            <w:tcW w:w="164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Loans receivable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96,096</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92,094</w:t>
            </w:r>
          </w:p>
        </w:tc>
        <w:tc>
          <w:tcPr>
            <w:tcW w:w="12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91,461</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782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188,687</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7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borrowed funds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51,744</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26,682</w:t>
            </w:r>
          </w:p>
        </w:tc>
        <w:tc>
          <w:tcPr>
            <w:tcW w:w="12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79,038</w:t>
            </w:r>
          </w:p>
        </w:tc>
        <w:tc>
          <w:tcPr>
            <w:tcW w:w="12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Unconsolidated Variable Interest Entities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equity investments in LIHTC partnerships, both directly and through tax credit funds, with carrying values of $220,689,000 and $216,650,000 as of September 30, 2026 and December 31, 2025, respectively. The LIHTCs are indirect federal subsidies to finance low-income housing and are used in connection with both newly constructed and renovated residential rental buildings. Once a project is placed in service, it is generally eligible for the tax credit for ten years. To continue generating the tax credit and to avoid tax credit recapture, a LIHTC building must satisfy specific low-income housing compliance rules for a full fifteen years. The maximum exposure to loss in the VIEs is the amount of equity invested, tax credit recapture, and credit extended by the Company. However, the Company has credit protection in the form of indemnification agreements, guarantees, and collateral arrangements. The Company has evaluated the variable interests held by the Company in each LIHTC investment and determined that the Company does not have controlling financial interests in such investments, and is not the primary beneficiary. The Company reports the investments in the unconsolidated LIHTCs as other assets on the Company’s unaudited condensed consolidated statements of financial condition and any unfunded equity commitments in other liabilities. There were no impairment losses on the Company’s LIHTC investments during the nine months ended September 30, 2026 and 2025. Future unfunded contingent equity commitments related to the Company’s LIHTC investments at September 30, 2026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tcPr>
          <w:p>
            <w:pPr>
              <w:spacing w:after="0"/>
              <w:rPr>
                <w:sz w:val="19"/>
                <w:szCs w:val="19"/>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Amount</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3"/>
        </w:trPr>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83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24,434</w:t>
            </w:r>
          </w:p>
        </w:tc>
      </w:tr>
      <w:tr>
        <w:trPr>
          <w:trHeight w:val="243"/>
        </w:trPr>
        <w:tc>
          <w:tcPr>
            <w:tcW w:w="1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8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35,405</w:t>
            </w:r>
          </w:p>
        </w:tc>
      </w:tr>
      <w:tr>
        <w:trPr>
          <w:trHeight w:val="243"/>
        </w:trPr>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8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w:t>
            </w:r>
          </w:p>
        </w:tc>
      </w:tr>
      <w:tr>
        <w:trPr>
          <w:trHeight w:val="243"/>
        </w:trPr>
        <w:tc>
          <w:tcPr>
            <w:tcW w:w="1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2029</w:t>
            </w:r>
          </w:p>
        </w:tc>
        <w:tc>
          <w:tcPr>
            <w:tcW w:w="8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r>
      <w:tr>
        <w:trPr>
          <w:trHeight w:val="243"/>
        </w:trPr>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2030</w:t>
            </w:r>
          </w:p>
        </w:tc>
        <w:tc>
          <w:tcPr>
            <w:tcW w:w="8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43"/>
        </w:trPr>
        <w:tc>
          <w:tcPr>
            <w:tcW w:w="20" w:type="dxa"/>
            <w:vAlign w:val="bottom"/>
            <w:shd w:val="clear" w:color="auto" w:fill="CCEEFF"/>
          </w:tcPr>
          <w:p>
            <w:pPr>
              <w:spacing w:after="0"/>
              <w:rPr>
                <w:sz w:val="21"/>
                <w:szCs w:val="21"/>
                <w:color w:val="auto"/>
              </w:rPr>
            </w:pPr>
          </w:p>
        </w:tc>
        <w:tc>
          <w:tcPr>
            <w:tcW w:w="9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r>
      <w:tr>
        <w:trPr>
          <w:trHeight w:val="237"/>
        </w:trPr>
        <w:tc>
          <w:tcPr>
            <w:tcW w:w="20" w:type="dxa"/>
            <w:vAlign w:val="bottom"/>
          </w:tcPr>
          <w:p>
            <w:pPr>
              <w:spacing w:after="0"/>
              <w:rPr>
                <w:sz w:val="20"/>
                <w:szCs w:val="20"/>
                <w:color w:val="auto"/>
              </w:rPr>
            </w:pPr>
          </w:p>
        </w:tc>
        <w:tc>
          <w:tcPr>
            <w:tcW w:w="9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73,463</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investments in NMTC investment funds where the Company has evaluated the variable interests held by the Company in each investment and determined the Company does not meet the criteria to consolidate. As a result, the investments are recorded as equity investments and reports the investment in other assets on the Company unaudited condensed consolidated statements of financial condition. The carrying amount of such investments were $4,634,000 at September 30, 2026. There were no impairment losses on the Company’s NMTC investments during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to use the proportional amortization method, and more specifically the practical expedient method, for the amortization of all eligible tax credit investments and amortization expense is recognized as a component of income tax expense. The following table summarizes the amortization expense and the amount of tax credits and other tax benefits recognized for qualifying investments during the periods presented.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0"/>
                <w:szCs w:val="20"/>
                <w:color w:val="auto"/>
              </w:rPr>
            </w:pPr>
          </w:p>
        </w:tc>
        <w:tc>
          <w:tcPr>
            <w:tcW w:w="298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740" w:type="dxa"/>
            <w:vAlign w:val="bottom"/>
            <w:gridSpan w:val="2"/>
          </w:tcPr>
          <w:p>
            <w:pPr>
              <w:ind w:left="30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54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44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September 30,</w:t>
            </w:r>
          </w:p>
        </w:tc>
      </w:tr>
      <w:tr>
        <w:trPr>
          <w:trHeight w:val="189"/>
        </w:trPr>
        <w:tc>
          <w:tcPr>
            <w:tcW w:w="20" w:type="dxa"/>
            <w:vAlign w:val="bottom"/>
          </w:tcPr>
          <w:p>
            <w:pPr>
              <w:spacing w:after="0"/>
              <w:rPr>
                <w:sz w:val="16"/>
                <w:szCs w:val="16"/>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144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64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6"/>
                <w:szCs w:val="16"/>
                <w:color w:val="auto"/>
              </w:rPr>
            </w:pPr>
          </w:p>
        </w:tc>
        <w:tc>
          <w:tcPr>
            <w:tcW w:w="1440" w:type="dxa"/>
            <w:vAlign w:val="bottom"/>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440" w:type="dxa"/>
            <w:vAlign w:val="bottom"/>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22,230</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19,018</w:t>
            </w:r>
          </w:p>
        </w:tc>
      </w:tr>
      <w:tr>
        <w:trPr>
          <w:trHeight w:val="243"/>
        </w:trPr>
        <w:tc>
          <w:tcPr>
            <w:tcW w:w="20" w:type="dxa"/>
            <w:vAlign w:val="bottom"/>
          </w:tcPr>
          <w:p>
            <w:pPr>
              <w:spacing w:after="0"/>
              <w:rPr>
                <w:sz w:val="21"/>
                <w:szCs w:val="21"/>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credits and other tax benefits recognized</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23,576</w:t>
            </w: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owns trust preferred subsidiaries, each of which has issued securities as capital instruments. The trust subsidiaries have no assets, operations, revenues or cash flows other than those related to the issuance, administration and repayment of the securities held by third parties. The trust subsidiaries are not included in the Company’s consolidated financial statements because the sole asset of each trust subsidiary is a receivable from the Company, even though the Company owns all of the voting equity shares of the trust subsidiaries, has fully guaranteed the obligations of the trust subsidiaries and may have the right to redeem the third party securities under certain circumstances. The Company reports the trust preferred securities issued to the trust subsidiaries as subordinated debentures on the Company’s unaudited condensed consolidated statements of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Securities Sold Under Agreements to Repurchase</w:t>
      </w:r>
    </w:p>
    <w:p>
      <w:pPr>
        <w:spacing w:after="0" w:line="2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carrying value of the Company’s securities sold under agreements to repurchase (“repurchase agreements”) by remaining contractual maturity of the agreements and category of collateral: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Overnight and Continuous</w:t>
            </w: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15"/>
                <w:szCs w:val="15"/>
                <w:color w:val="auto"/>
              </w:rPr>
            </w:pPr>
          </w:p>
        </w:tc>
        <w:tc>
          <w:tcPr>
            <w:tcW w:w="144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December 31,</w:t>
            </w:r>
          </w:p>
        </w:tc>
      </w:tr>
      <w:tr>
        <w:trPr>
          <w:trHeight w:val="189"/>
        </w:trPr>
        <w:tc>
          <w:tcPr>
            <w:tcW w:w="20" w:type="dxa"/>
            <w:vAlign w:val="bottom"/>
          </w:tcPr>
          <w:p>
            <w:pPr>
              <w:spacing w:after="0"/>
              <w:rPr>
                <w:sz w:val="16"/>
                <w:szCs w:val="16"/>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144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federal agency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308,437</w:t>
            </w:r>
          </w:p>
        </w:tc>
      </w:tr>
      <w:tr>
        <w:trPr>
          <w:trHeight w:val="243"/>
        </w:trPr>
        <w:tc>
          <w:tcPr>
            <w:tcW w:w="20" w:type="dxa"/>
            <w:vAlign w:val="bottom"/>
          </w:tcPr>
          <w:p>
            <w:pPr>
              <w:spacing w:after="0"/>
              <w:rPr>
                <w:sz w:val="21"/>
                <w:szCs w:val="21"/>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1,392,360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1,775,676</w:t>
            </w:r>
          </w:p>
        </w:tc>
      </w:tr>
      <w:tr>
        <w:trPr>
          <w:trHeight w:val="243"/>
        </w:trPr>
        <w:tc>
          <w:tcPr>
            <w:tcW w:w="20" w:type="dxa"/>
            <w:vAlign w:val="bottom"/>
            <w:shd w:val="clear" w:color="auto" w:fill="CCEEFF"/>
          </w:tcPr>
          <w:p>
            <w:pPr>
              <w:spacing w:after="0"/>
              <w:rPr>
                <w:sz w:val="21"/>
                <w:szCs w:val="21"/>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509,736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7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1,954,925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2,084,113</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repurchase agreements are secured by debt securities with carrying values of $2,302,451,000 and $2,432,683,000 at September 30, 2026 and December 31, 2025, respectively. Securities are pledged to customers at the time of the transaction in an amount at least equal to the outstanding balance and are held in custody accounts by third parties. The fair value of collateral is continually monitored and additional collateral is provided as deemed appropriate.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and Hedging Activities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derivatives that are recorded at fair value in other assets or other liabilities.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740" w:type="dxa"/>
            <w:vAlign w:val="bottom"/>
            <w:tcBorders>
              <w:bottom w:val="single" w:sz="8" w:color="auto"/>
            </w:tcBorders>
            <w:gridSpan w:val="6"/>
          </w:tcPr>
          <w:p>
            <w:pPr>
              <w:jc w:val="center"/>
              <w:ind w:left="97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3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Average</w:t>
            </w:r>
          </w:p>
        </w:tc>
        <w:tc>
          <w:tcPr>
            <w:tcW w:w="200" w:type="dxa"/>
            <w:vAlign w:val="bottom"/>
          </w:tcPr>
          <w:p>
            <w:pPr>
              <w:spacing w:after="0"/>
              <w:rPr>
                <w:sz w:val="16"/>
                <w:szCs w:val="16"/>
                <w:color w:val="auto"/>
              </w:rPr>
            </w:pPr>
          </w:p>
        </w:tc>
        <w:tc>
          <w:tcPr>
            <w:tcW w:w="122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8"/>
                <w:szCs w:val="18"/>
                <w:color w:val="auto"/>
                <w:w w:val="98"/>
              </w:rPr>
              <w:t>Notional</w:t>
            </w:r>
          </w:p>
        </w:tc>
        <w:tc>
          <w:tcPr>
            <w:tcW w:w="118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6"/>
              </w:rPr>
              <w:t>Fair Value</w:t>
            </w:r>
          </w:p>
        </w:tc>
        <w:tc>
          <w:tcPr>
            <w:tcW w:w="13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Notional</w:t>
            </w:r>
          </w:p>
        </w:tc>
        <w:tc>
          <w:tcPr>
            <w:tcW w:w="1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Fair 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8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8"/>
                <w:szCs w:val="18"/>
                <w:color w:val="auto"/>
                <w:w w:val="99"/>
              </w:rPr>
              <w:t>Asset</w:t>
            </w:r>
          </w:p>
        </w:tc>
        <w:tc>
          <w:tcPr>
            <w:tcW w:w="1300" w:type="dxa"/>
            <w:vAlign w:val="bottom"/>
            <w:gridSpan w:val="2"/>
            <w:vMerge w:val="continue"/>
          </w:tcPr>
          <w:p>
            <w:pPr>
              <w:spacing w:after="0"/>
              <w:rPr>
                <w:sz w:val="15"/>
                <w:szCs w:val="15"/>
                <w:color w:val="auto"/>
              </w:rPr>
            </w:pPr>
          </w:p>
        </w:tc>
        <w:tc>
          <w:tcPr>
            <w:tcW w:w="12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Asset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(Dollars in thousands)</w:t>
            </w:r>
          </w:p>
        </w:tc>
        <w:tc>
          <w:tcPr>
            <w:tcW w:w="1320" w:type="dxa"/>
            <w:vAlign w:val="bottom"/>
            <w:gridSpan w:val="2"/>
          </w:tcPr>
          <w:p>
            <w:pPr>
              <w:ind w:left="300"/>
              <w:spacing w:after="0" w:line="156" w:lineRule="exact"/>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Pr>
          <w:p>
            <w:pPr>
              <w:spacing w:after="0"/>
              <w:rPr>
                <w:sz w:val="15"/>
                <w:szCs w:val="15"/>
                <w:color w:val="auto"/>
              </w:rPr>
            </w:pPr>
          </w:p>
        </w:tc>
        <w:tc>
          <w:tcPr>
            <w:tcW w:w="1220" w:type="dxa"/>
            <w:vAlign w:val="bottom"/>
            <w:gridSpan w:val="3"/>
          </w:tcPr>
          <w:p>
            <w:pPr>
              <w:jc w:val="center"/>
              <w:ind w:right="440"/>
              <w:spacing w:after="0" w:line="156" w:lineRule="exact"/>
              <w:rPr>
                <w:sz w:val="20"/>
                <w:szCs w:val="20"/>
                <w:color w:val="auto"/>
              </w:rPr>
            </w:pPr>
            <w:r>
              <w:rPr>
                <w:rFonts w:ascii="Times New Roman" w:cs="Times New Roman" w:eastAsia="Times New Roman" w:hAnsi="Times New Roman"/>
                <w:sz w:val="18"/>
                <w:szCs w:val="18"/>
                <w:color w:val="auto"/>
                <w:w w:val="98"/>
              </w:rPr>
              <w:t>Amount</w:t>
            </w:r>
          </w:p>
        </w:tc>
        <w:tc>
          <w:tcPr>
            <w:tcW w:w="118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8"/>
                <w:szCs w:val="18"/>
                <w:color w:val="auto"/>
                <w:w w:val="99"/>
              </w:rPr>
              <w:t>(Liability)</w:t>
            </w:r>
          </w:p>
        </w:tc>
        <w:tc>
          <w:tcPr>
            <w:tcW w:w="1300" w:type="dxa"/>
            <w:vAlign w:val="bottom"/>
            <w:gridSpan w:val="2"/>
          </w:tcPr>
          <w:p>
            <w:pPr>
              <w:ind w:left="300"/>
              <w:spacing w:after="0" w:line="156" w:lineRule="exact"/>
              <w:rPr>
                <w:sz w:val="20"/>
                <w:szCs w:val="20"/>
                <w:color w:val="auto"/>
              </w:rPr>
            </w:pPr>
            <w:r>
              <w:rPr>
                <w:rFonts w:ascii="Times New Roman" w:cs="Times New Roman" w:eastAsia="Times New Roman" w:hAnsi="Times New Roman"/>
                <w:sz w:val="18"/>
                <w:szCs w:val="18"/>
                <w:color w:val="auto"/>
              </w:rPr>
              <w:t>Amount</w:t>
            </w:r>
          </w:p>
        </w:tc>
        <w:tc>
          <w:tcPr>
            <w:tcW w:w="12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hedge designation</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1,395,500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rate cap agreements</w:t>
            </w:r>
          </w:p>
        </w:tc>
        <w:tc>
          <w:tcPr>
            <w:tcW w:w="13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4.02 years</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704,834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28,048</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Non-designated derivatives</w:t>
            </w: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TBA commitments</w:t>
            </w: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55,250</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established objectives and strategies that include ongoing monitoring and management of interest rate risk. The Company monitors interest rate risk through simulation modeling to quantify the estimated exposure to net interest income to sustained interest rate changes. The goal of the asset/liability management is to maintain profitability within established risk parameters. In the ordinary course of business, the Company enters into interest rate lock commitments with customers, which exposes the Company to interest rate risk. To mitigate such risk, the Company enters into TBA commitments to reduce the price fluctuations of the interest rate lock commitments. As part of the overall asset/liability strategy, the Company enters into certain fair value hedges and cash flow hedges to manage a portion of the interest rate risk. The following provides additional information related to the Company’s hedging transactions. The fair value hedges and cash flow hedges were highly effective when initiated and on an on-going basis. Cash collateral received from derivative counterparties is recognized as a liability since the Company is obligated to return the collateral in accordance with the applicable contract.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Cap Agreements.</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had interest rate cap agreements designated as cash flow hedges on its variable rate subordinated debt, all of which matured prior to March 31, 2025. The interest rate caps required receipt of variable rate amounts from the counterparty when the interest rate rose above the strike price in the agreement. The amount of loss recognized in OCI was $657,000 and the amount of gain reclassified from OCI to interest expense was $63,000 for the nine months ended September 30,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w:t>
      </w:r>
    </w:p>
    <w:p>
      <w:pPr>
        <w:spacing w:after="0" w:line="237" w:lineRule="auto"/>
        <w:rPr>
          <w:sz w:val="20"/>
          <w:szCs w:val="20"/>
          <w:color w:val="auto"/>
        </w:rPr>
      </w:pPr>
      <w:r>
        <w:rPr>
          <w:rFonts w:ascii="Times New Roman" w:cs="Times New Roman" w:eastAsia="Times New Roman" w:hAnsi="Times New Roman"/>
          <w:sz w:val="18"/>
          <w:szCs w:val="18"/>
          <w:i w:val="1"/>
          <w:iCs w:val="1"/>
          <w:color w:val="auto"/>
        </w:rPr>
        <w:t>Interest Rate Swap Agreements</w:t>
      </w: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entered into interest rate swap agreements that were designated as fair value hedges for a closed pool of fixed rate debt securities. The instruments were designated as fair value hedges, as the changes in the fair value of the interest rate swap were expected to offset changes in the fair value of the hedged item attributable to changes in the compounded overnight SOFR rate, the designated benchmark interest rate. These derivative contracts involved the receipt of variable rate interest from a counterparty in exchange for the Company making fixed rate payments over the life of the contract, without the exchange of the underlying notional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Cap Agreements</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entered into forward starting interest rate cap agreements that are designated as fair value hedges for specific fixed rate AFS debt securities. The instruments are designated as fair value hedges, as the changes in the fair value of the interest rate cap are expected to offset a portion of the changes in the fair value of the hedged item when the variable rate is above the strike price. These derivative contracts involve the receipt of variable rate interest from a counterparty if the variable rate of the benchmark rate (SOFR) exceeds the strike price. The weighted-average strike rate for the interest rate caps was 3.91% at September 30, 2026. Cash collateral received from counterparties totaled $26,470,000 at September 30, 2026.</w:t>
      </w:r>
    </w:p>
    <w:p>
      <w:pPr>
        <w:spacing w:after="0" w:line="2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amounts were recorded on the unaudited condensed consolidated statements of financial condition related to cumulative basis adjustments for fair value hedges for the respective periods:</w:t>
      </w: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gridSpan w:val="3"/>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Amortized Cost of Fair Value Hedging</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8"/>
                <w:szCs w:val="18"/>
                <w:color w:val="auto"/>
              </w:rPr>
              <w:t>Amortized cost of the Hedged Assets</w:t>
            </w:r>
          </w:p>
        </w:tc>
        <w:tc>
          <w:tcPr>
            <w:tcW w:w="338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Included in the Carrying Amount of the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4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5"/>
                <w:szCs w:val="15"/>
                <w:color w:val="auto"/>
              </w:rPr>
            </w:pPr>
          </w:p>
        </w:tc>
        <w:tc>
          <w:tcPr>
            <w:tcW w:w="3280" w:type="dxa"/>
            <w:vAlign w:val="bottom"/>
            <w:gridSpan w:val="4"/>
            <w:vMerge w:val="continue"/>
          </w:tcPr>
          <w:p>
            <w:pPr>
              <w:spacing w:after="0"/>
              <w:rPr>
                <w:sz w:val="15"/>
                <w:szCs w:val="15"/>
                <w:color w:val="auto"/>
              </w:rPr>
            </w:pPr>
          </w:p>
        </w:tc>
        <w:tc>
          <w:tcPr>
            <w:tcW w:w="3380" w:type="dxa"/>
            <w:vAlign w:val="bottom"/>
            <w:gridSpan w:val="3"/>
          </w:tcPr>
          <w:p>
            <w:pPr>
              <w:jc w:val="center"/>
              <w:spacing w:after="0" w:line="156" w:lineRule="exact"/>
              <w:rPr>
                <w:sz w:val="20"/>
                <w:szCs w:val="20"/>
                <w:color w:val="auto"/>
              </w:rPr>
            </w:pPr>
            <w:r>
              <w:rPr>
                <w:rFonts w:ascii="Times New Roman" w:cs="Times New Roman" w:eastAsia="Times New Roman" w:hAnsi="Times New Roman"/>
                <w:sz w:val="18"/>
                <w:szCs w:val="18"/>
                <w:color w:val="auto"/>
              </w:rPr>
              <w:t>Hedged Assets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4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Line item on the consolidated statements of</w:t>
            </w:r>
          </w:p>
        </w:tc>
        <w:tc>
          <w:tcPr>
            <w:tcW w:w="220" w:type="dxa"/>
            <w:vAlign w:val="bottom"/>
          </w:tcPr>
          <w:p>
            <w:pPr>
              <w:spacing w:after="0"/>
              <w:rPr>
                <w:sz w:val="16"/>
                <w:szCs w:val="16"/>
                <w:color w:val="auto"/>
              </w:rPr>
            </w:pPr>
          </w:p>
        </w:tc>
        <w:tc>
          <w:tcPr>
            <w:tcW w:w="152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76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740" w:type="dxa"/>
            <w:vAlign w:val="bottom"/>
            <w:gridSpan w:val="2"/>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1640" w:type="dxa"/>
            <w:vAlign w:val="bottom"/>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financial condition</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 available-for-sale - swap</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2,692,319</w:t>
            </w:r>
          </w:p>
        </w:tc>
        <w:tc>
          <w:tcPr>
            <w:tcW w:w="10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securities available-for-sale - cap</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690,785</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99,528</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effects of the fair value hedge relationships on the unaudited condensed consolidated statements of operations during the periods presented below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20"/>
                <w:szCs w:val="20"/>
                <w:color w:val="auto"/>
              </w:rPr>
            </w:pPr>
          </w:p>
        </w:tc>
        <w:tc>
          <w:tcPr>
            <w:tcW w:w="22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580" w:type="dxa"/>
            <w:vAlign w:val="bottom"/>
            <w:gridSpan w:val="2"/>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September 30,</w:t>
            </w:r>
          </w:p>
        </w:tc>
        <w:tc>
          <w:tcPr>
            <w:tcW w:w="1260" w:type="dxa"/>
            <w:vAlign w:val="bottom"/>
            <w:gridSpan w:val="2"/>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September 30,</w:t>
            </w:r>
          </w:p>
        </w:tc>
        <w:tc>
          <w:tcPr>
            <w:tcW w:w="1320" w:type="dxa"/>
            <w:vAlign w:val="bottom"/>
            <w:gridSpan w:val="2"/>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September 30,</w:t>
            </w:r>
          </w:p>
        </w:tc>
        <w:tc>
          <w:tcPr>
            <w:tcW w:w="1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September 30,</w:t>
            </w:r>
          </w:p>
        </w:tc>
      </w:tr>
      <w:tr>
        <w:trPr>
          <w:trHeight w:val="189"/>
        </w:trPr>
        <w:tc>
          <w:tcPr>
            <w:tcW w:w="2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920" w:type="dxa"/>
            <w:vAlign w:val="bottom"/>
          </w:tcPr>
          <w:p>
            <w:pPr>
              <w:jc w:val="center"/>
              <w:ind w:left="250"/>
              <w:spacing w:after="0" w:line="169" w:lineRule="exact"/>
              <w:rPr>
                <w:sz w:val="20"/>
                <w:szCs w:val="20"/>
                <w:color w:val="auto"/>
              </w:rPr>
            </w:pPr>
            <w:r>
              <w:rPr>
                <w:rFonts w:ascii="Times New Roman" w:cs="Times New Roman" w:eastAsia="Times New Roman" w:hAnsi="Times New Roman"/>
                <w:sz w:val="18"/>
                <w:szCs w:val="18"/>
                <w:color w:val="auto"/>
              </w:rPr>
              <w:t>Location of Gain (Loss)</w:t>
            </w:r>
          </w:p>
        </w:tc>
        <w:tc>
          <w:tcPr>
            <w:tcW w:w="600" w:type="dxa"/>
            <w:vAlign w:val="bottom"/>
          </w:tcPr>
          <w:p>
            <w:pPr>
              <w:spacing w:after="0"/>
              <w:rPr>
                <w:sz w:val="16"/>
                <w:szCs w:val="16"/>
                <w:color w:val="auto"/>
              </w:rPr>
            </w:pPr>
          </w:p>
        </w:tc>
        <w:tc>
          <w:tcPr>
            <w:tcW w:w="98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6"/>
                <w:szCs w:val="16"/>
                <w:color w:val="auto"/>
              </w:rPr>
            </w:pPr>
          </w:p>
        </w:tc>
        <w:tc>
          <w:tcPr>
            <w:tcW w:w="94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16"/>
                <w:szCs w:val="16"/>
                <w:color w:val="auto"/>
              </w:rPr>
            </w:pPr>
          </w:p>
        </w:tc>
        <w:tc>
          <w:tcPr>
            <w:tcW w:w="98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6"/>
                <w:szCs w:val="16"/>
                <w:color w:val="auto"/>
              </w:rPr>
            </w:pPr>
          </w:p>
        </w:tc>
        <w:tc>
          <w:tcPr>
            <w:tcW w:w="94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3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Interest income on investment securities</w:t>
            </w: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43"/>
        </w:trPr>
        <w:tc>
          <w:tcPr>
            <w:tcW w:w="20" w:type="dxa"/>
            <w:vAlign w:val="bottom"/>
          </w:tcPr>
          <w:p>
            <w:pPr>
              <w:spacing w:after="0"/>
              <w:rPr>
                <w:sz w:val="21"/>
                <w:szCs w:val="21"/>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3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Interest income on investment securities</w:t>
            </w:r>
          </w:p>
        </w:tc>
        <w:tc>
          <w:tcPr>
            <w:tcW w:w="6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18,450</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18,138</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2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Available-for-sale debt</w:t>
            </w:r>
          </w:p>
        </w:tc>
        <w:tc>
          <w:tcPr>
            <w:tcW w:w="39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43"/>
        </w:trPr>
        <w:tc>
          <w:tcPr>
            <w:tcW w:w="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3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Interest income on investment securities</w:t>
            </w: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(18,950)</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(18,755)</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w:t>
            </w:r>
          </w:p>
        </w:tc>
      </w:tr>
    </w:tbl>
    <w:p>
      <w:pPr>
        <w:spacing w:after="0" w:line="200" w:lineRule="exact"/>
        <w:rPr>
          <w:sz w:val="20"/>
          <w:szCs w:val="20"/>
          <w:color w:val="auto"/>
        </w:rPr>
      </w:pP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The effect of fair value hedge accounting on OCI for the interest rate cap agreements for the periods presented below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jc w:val="right"/>
              <w:ind w:right="73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0"/>
                <w:szCs w:val="20"/>
                <w:color w:val="auto"/>
              </w:rPr>
            </w:pPr>
          </w:p>
        </w:tc>
        <w:tc>
          <w:tcPr>
            <w:tcW w:w="18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jc w:val="right"/>
              <w:ind w:right="7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tcPr>
          <w:p>
            <w:pPr>
              <w:jc w:val="center"/>
              <w:ind w:right="220"/>
              <w:spacing w:after="0" w:line="182" w:lineRule="exact"/>
              <w:rPr>
                <w:sz w:val="20"/>
                <w:szCs w:val="20"/>
                <w:color w:val="auto"/>
              </w:rPr>
            </w:pPr>
            <w:r>
              <w:rPr>
                <w:rFonts w:ascii="Times New Roman" w:cs="Times New Roman" w:eastAsia="Times New Roman" w:hAnsi="Times New Roman"/>
                <w:sz w:val="18"/>
                <w:szCs w:val="18"/>
                <w:color w:val="auto"/>
                <w:w w:val="99"/>
              </w:rPr>
              <w:t>September 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4"/>
          </w:tcPr>
          <w:p>
            <w:pPr>
              <w:ind w:left="6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440" w:type="dxa"/>
            <w:vAlign w:val="bottom"/>
            <w:gridSpan w:val="3"/>
          </w:tcPr>
          <w:p>
            <w:pPr>
              <w:jc w:val="center"/>
              <w:ind w:right="280"/>
              <w:spacing w:after="0" w:line="182" w:lineRule="exact"/>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September 30,</w:t>
            </w:r>
          </w:p>
        </w:tc>
      </w:tr>
      <w:tr>
        <w:trPr>
          <w:trHeight w:val="189"/>
        </w:trPr>
        <w:tc>
          <w:tcPr>
            <w:tcW w:w="20" w:type="dxa"/>
            <w:vAlign w:val="bottom"/>
          </w:tcPr>
          <w:p>
            <w:pPr>
              <w:spacing w:after="0"/>
              <w:rPr>
                <w:sz w:val="16"/>
                <w:szCs w:val="16"/>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7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4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Amount of loss recognized in OCI</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4"/>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(5,857)</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797"/>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10. Other Expenses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59"/>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expenses consists of the following:</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980" w:type="dxa"/>
            <w:vAlign w:val="bottom"/>
            <w:tcBorders>
              <w:bottom w:val="single" w:sz="8" w:color="auto"/>
            </w:tcBorders>
            <w:gridSpan w:val="7"/>
          </w:tcPr>
          <w:p>
            <w:pPr>
              <w:jc w:val="right"/>
              <w:ind w:right="84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8"/>
                <w:szCs w:val="18"/>
                <w:color w:val="auto"/>
                <w:w w:val="99"/>
              </w:rPr>
              <w:t>September 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4"/>
          </w:tcPr>
          <w:p>
            <w:pPr>
              <w:ind w:left="24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15"/>
                <w:szCs w:val="15"/>
                <w:color w:val="auto"/>
              </w:rPr>
            </w:pPr>
          </w:p>
        </w:tc>
        <w:tc>
          <w:tcPr>
            <w:tcW w:w="1280" w:type="dxa"/>
            <w:vAlign w:val="bottom"/>
            <w:gridSpan w:val="2"/>
          </w:tcPr>
          <w:p>
            <w:pPr>
              <w:jc w:val="center"/>
              <w:ind w:right="160"/>
              <w:spacing w:after="0" w:line="182" w:lineRule="exact"/>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September 30,</w:t>
            </w:r>
          </w:p>
        </w:tc>
      </w:tr>
      <w:tr>
        <w:trPr>
          <w:trHeight w:val="189"/>
        </w:trPr>
        <w:tc>
          <w:tcPr>
            <w:tcW w:w="20" w:type="dxa"/>
            <w:vAlign w:val="bottom"/>
          </w:tcPr>
          <w:p>
            <w:pPr>
              <w:spacing w:after="0"/>
              <w:rPr>
                <w:sz w:val="16"/>
                <w:szCs w:val="16"/>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35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and outside services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16,889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15,291</w:t>
            </w:r>
          </w:p>
        </w:tc>
      </w:tr>
      <w:tr>
        <w:trPr>
          <w:trHeight w:val="243"/>
        </w:trPr>
        <w:tc>
          <w:tcPr>
            <w:tcW w:w="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Debit card expenses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14,406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11,785</w:t>
            </w: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Mergers and acquisition expenses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10,589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w:t>
            </w:r>
          </w:p>
        </w:tc>
      </w:tr>
      <w:tr>
        <w:trPr>
          <w:trHeight w:val="243"/>
        </w:trPr>
        <w:tc>
          <w:tcPr>
            <w:tcW w:w="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expenses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w:t>
            </w: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expenses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6,977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w:t>
            </w:r>
          </w:p>
        </w:tc>
      </w:tr>
      <w:tr>
        <w:trPr>
          <w:trHeight w:val="243"/>
        </w:trPr>
        <w:tc>
          <w:tcPr>
            <w:tcW w:w="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development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4,991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w:t>
            </w: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Telephone</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4,866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r>
      <w:tr>
        <w:trPr>
          <w:trHeight w:val="243"/>
        </w:trPr>
        <w:tc>
          <w:tcPr>
            <w:tcW w:w="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Postage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interest entities amortization and other expenses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w:t>
            </w:r>
          </w:p>
        </w:tc>
      </w:tr>
      <w:tr>
        <w:trPr>
          <w:trHeight w:val="243"/>
        </w:trPr>
        <w:tc>
          <w:tcPr>
            <w:tcW w:w="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Checking and operating expenses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supplies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r>
      <w:tr>
        <w:trPr>
          <w:trHeight w:val="243"/>
        </w:trPr>
        <w:tc>
          <w:tcPr>
            <w:tcW w:w="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and audit fees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43"/>
        </w:trPr>
        <w:tc>
          <w:tcPr>
            <w:tcW w:w="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loss on dispositions of premises and equipment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Pr>
          <w:p>
            <w:pPr>
              <w:spacing w:after="0"/>
              <w:rPr>
                <w:sz w:val="21"/>
                <w:szCs w:val="21"/>
                <w:color w:val="auto"/>
              </w:rPr>
            </w:pP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12,584</w:t>
            </w:r>
          </w:p>
        </w:tc>
        <w:tc>
          <w:tcPr>
            <w:tcW w:w="10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w:t>
            </w:r>
          </w:p>
        </w:tc>
      </w:tr>
      <w:tr>
        <w:trPr>
          <w:trHeight w:val="236"/>
        </w:trPr>
        <w:tc>
          <w:tcPr>
            <w:tcW w:w="20" w:type="dxa"/>
            <w:vAlign w:val="bottom"/>
          </w:tcPr>
          <w:p>
            <w:pPr>
              <w:spacing w:after="0"/>
              <w:rPr>
                <w:sz w:val="20"/>
                <w:szCs w:val="20"/>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other expenses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33,120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93,896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82,984</w:t>
            </w: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11. Accumulated Other Comprehensive (Losses) Gains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illustrates the activity within accumulated other comprehensive (losses) gains by component, net of tax:</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Unrealized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Unrealized</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540" w:type="dxa"/>
            <w:vAlign w:val="bottom"/>
            <w:gridSpan w:val="3"/>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w w:val="99"/>
              </w:rPr>
              <w:t>(Losses) Gains on</w:t>
            </w:r>
          </w:p>
        </w:tc>
        <w:tc>
          <w:tcPr>
            <w:tcW w:w="158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w w:val="99"/>
              </w:rPr>
              <w:t>(Losses) Gains on</w:t>
            </w:r>
          </w:p>
        </w:tc>
        <w:tc>
          <w:tcPr>
            <w:tcW w:w="156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Unrealized Losses</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54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Available-For-Sale</w:t>
            </w:r>
          </w:p>
        </w:tc>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Derivatives Used</w:t>
            </w:r>
          </w:p>
        </w:tc>
        <w:tc>
          <w:tcPr>
            <w:tcW w:w="15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8"/>
              </w:rPr>
              <w:t>on Derivatives</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w w:val="99"/>
              </w:rPr>
              <w:t>and Transferred</w:t>
            </w:r>
          </w:p>
        </w:tc>
        <w:tc>
          <w:tcPr>
            <w:tcW w:w="15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for Cash Flow</w:t>
            </w:r>
          </w:p>
        </w:tc>
        <w:tc>
          <w:tcPr>
            <w:tcW w:w="15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7"/>
              </w:rPr>
              <w:t>Used for Fair Value</w:t>
            </w:r>
          </w:p>
        </w:tc>
        <w:tc>
          <w:tcPr>
            <w:tcW w:w="14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5"/>
                <w:szCs w:val="15"/>
                <w:color w:val="auto"/>
              </w:rPr>
            </w:pPr>
          </w:p>
        </w:tc>
        <w:tc>
          <w:tcPr>
            <w:tcW w:w="142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8"/>
                <w:szCs w:val="18"/>
                <w:color w:val="auto"/>
                <w:w w:val="99"/>
              </w:rPr>
              <w:t>Debt Securities</w:t>
            </w:r>
          </w:p>
        </w:tc>
        <w:tc>
          <w:tcPr>
            <w:tcW w:w="158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8"/>
                <w:szCs w:val="18"/>
                <w:color w:val="auto"/>
                <w:w w:val="99"/>
              </w:rPr>
              <w:t>Hedges</w:t>
            </w:r>
          </w:p>
        </w:tc>
        <w:tc>
          <w:tcPr>
            <w:tcW w:w="156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8"/>
                <w:szCs w:val="18"/>
                <w:color w:val="auto"/>
                <w:w w:val="99"/>
              </w:rPr>
              <w:t>Hedges</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(309,836)</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113,722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113,229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1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Reclassification adjustments for losses and transfers included in net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Reclassification adjustments for amortization included in net income</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5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 transferred securities</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116,946</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(192,890)</w:t>
            </w:r>
          </w:p>
        </w:tc>
        <w:tc>
          <w:tcPr>
            <w:tcW w:w="1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(192,890)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(166,846)</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(37,406)</w:t>
            </w:r>
          </w:p>
        </w:tc>
        <w:tc>
          <w:tcPr>
            <w:tcW w:w="10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1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Reclassification adjustments for amortization included in net income</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transferred securities</w:t>
            </w: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(34,821)</w:t>
            </w:r>
          </w:p>
        </w:tc>
        <w:tc>
          <w:tcPr>
            <w:tcW w:w="10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(39,226)</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(201,667)</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Earnings Per Share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shares of common stock outstanding during the period presented. Diluted earnings per share is computed by including the net increase in shares as if dilutive outstanding restricted stock units were vested and stock options were exercised, using the treasury stock method.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share has been computed based on the following: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82"/>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740" w:type="dxa"/>
            <w:vAlign w:val="bottom"/>
            <w:gridSpan w:val="2"/>
          </w:tcPr>
          <w:p>
            <w:pPr>
              <w:ind w:left="30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15"/>
                <w:szCs w:val="15"/>
                <w:color w:val="auto"/>
              </w:rPr>
            </w:pPr>
          </w:p>
        </w:tc>
        <w:tc>
          <w:tcPr>
            <w:tcW w:w="138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44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September 30,</w:t>
            </w:r>
          </w:p>
        </w:tc>
      </w:tr>
      <w:tr>
        <w:trPr>
          <w:trHeight w:val="189"/>
        </w:trPr>
        <w:tc>
          <w:tcPr>
            <w:tcW w:w="20" w:type="dxa"/>
            <w:vAlign w:val="bottom"/>
          </w:tcPr>
          <w:p>
            <w:pPr>
              <w:spacing w:after="0"/>
              <w:rPr>
                <w:sz w:val="16"/>
                <w:szCs w:val="16"/>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200" w:type="dxa"/>
            <w:vAlign w:val="bottom"/>
          </w:tcPr>
          <w:p>
            <w:pPr>
              <w:spacing w:after="0"/>
              <w:rPr>
                <w:sz w:val="16"/>
                <w:szCs w:val="16"/>
                <w:color w:val="auto"/>
              </w:rPr>
            </w:pPr>
          </w:p>
        </w:tc>
        <w:tc>
          <w:tcPr>
            <w:tcW w:w="144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6"/>
                <w:szCs w:val="16"/>
                <w:color w:val="auto"/>
              </w:rPr>
            </w:pPr>
          </w:p>
        </w:tc>
        <w:tc>
          <w:tcPr>
            <w:tcW w:w="164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440" w:type="dxa"/>
            <w:vAlign w:val="bottom"/>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2560" w:type="dxa"/>
            <w:vAlign w:val="bottom"/>
            <w:tcBorders>
              <w:top w:val="single" w:sz="8" w:color="auto"/>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 basic and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104,562</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284,568</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outstanding shares - basic</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130,214,868</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118,552,231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130,145,667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116,316,754</w:t>
            </w:r>
          </w:p>
        </w:tc>
      </w:tr>
      <w:tr>
        <w:trPr>
          <w:trHeight w:val="243"/>
        </w:trPr>
        <w:tc>
          <w:tcPr>
            <w:tcW w:w="2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 dilutive restricted stock units and stock options</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218,367</w:t>
            </w:r>
          </w:p>
        </w:tc>
        <w:tc>
          <w:tcPr>
            <w:tcW w:w="12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178,593</w:t>
            </w:r>
          </w:p>
        </w:tc>
        <w:tc>
          <w:tcPr>
            <w:tcW w:w="1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66,068</w:t>
            </w:r>
          </w:p>
        </w:tc>
      </w:tr>
      <w:tr>
        <w:trPr>
          <w:trHeight w:val="237"/>
        </w:trPr>
        <w:tc>
          <w:tcPr>
            <w:tcW w:w="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outstanding shares - diluted</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130,433,235</w:t>
            </w:r>
          </w:p>
        </w:tc>
        <w:tc>
          <w:tcPr>
            <w:tcW w:w="12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118,628,434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130,324,260</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116,382,822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47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Restricted stock units and stock options excluded from the</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58"/>
        </w:trPr>
        <w:tc>
          <w:tcPr>
            <w:tcW w:w="20" w:type="dxa"/>
            <w:vAlign w:val="bottom"/>
            <w:shd w:val="clear" w:color="auto" w:fill="CCEEFF"/>
          </w:tcPr>
          <w:p>
            <w:pPr>
              <w:spacing w:after="0"/>
              <w:rPr>
                <w:sz w:val="22"/>
                <w:szCs w:val="22"/>
                <w:color w:val="auto"/>
              </w:rPr>
            </w:pPr>
          </w:p>
        </w:tc>
        <w:tc>
          <w:tcPr>
            <w:tcW w:w="4740" w:type="dxa"/>
            <w:vAlign w:val="bottom"/>
            <w:gridSpan w:val="2"/>
            <w:shd w:val="clear" w:color="auto" w:fill="CCEEFF"/>
          </w:tcPr>
          <w:p>
            <w:pPr>
              <w:ind w:left="80"/>
              <w:spacing w:after="0" w:line="237" w:lineRule="exact"/>
              <w:rPr>
                <w:sz w:val="20"/>
                <w:szCs w:val="20"/>
                <w:color w:val="auto"/>
              </w:rPr>
            </w:pPr>
            <w:r>
              <w:rPr>
                <w:rFonts w:ascii="Times New Roman" w:cs="Times New Roman" w:eastAsia="Times New Roman" w:hAnsi="Times New Roman"/>
                <w:sz w:val="18"/>
                <w:szCs w:val="18"/>
                <w:color w:val="auto"/>
              </w:rPr>
              <w:t xml:space="preserve">diluted average outstanding share calculation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68" w:lineRule="exact"/>
        <w:rPr>
          <w:sz w:val="20"/>
          <w:szCs w:val="20"/>
          <w:color w:val="auto"/>
        </w:rPr>
      </w:pPr>
    </w:p>
    <w:p>
      <w:pPr>
        <w:ind w:left="80" w:hanging="72"/>
        <w:spacing w:after="0" w:line="232" w:lineRule="auto"/>
        <w:tabs>
          <w:tab w:leader="none" w:pos="102"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Anti-dilution occurs when the unrecognized compensation cost per share of a restricted stock unit or the exercise price of a stock option exceeds the market price of the Company’s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Note 13. Fair Value of Assets and Liabilities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There is a fair value hierarchy which requires an entity to maximize the use of observable inputs and minimize the use of unobservable inputs when measuring fair value. The three levels of inputs that may be used to measure fair value are as follows:</w:t>
      </w:r>
    </w:p>
    <w:p>
      <w:pPr>
        <w:spacing w:after="0" w:line="31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Quoted prices in active markets for identical assets or liabilities</w:t>
      </w:r>
    </w:p>
    <w:p>
      <w:pPr>
        <w:spacing w:after="0" w:line="117" w:lineRule="exact"/>
        <w:rPr>
          <w:sz w:val="20"/>
          <w:szCs w:val="20"/>
          <w:color w:val="auto"/>
        </w:rPr>
      </w:pPr>
    </w:p>
    <w:p>
      <w:pPr>
        <w:jc w:val="both"/>
        <w:ind w:left="760" w:hanging="971"/>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Level 2</w:t>
        <w:tab/>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5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that are supported by little or no market activity and that are significant to the fair value of the assets or liabilities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Transfers in and out of Level 1 (quoted prices in active markets), Level 2 (significant other observable inputs) and Level 3 (significant unobservable inputs) are recognized on the actual transfer date. There were no transfers between fair value hierarchy levels during the nine month periods ended September 30, 2026 and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Recurring Measurements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is a description of the inputs and valuation methodologies used for assets and liabilities measured at fair value on a recurring basis, as well as the general classification of such assets and liabilities pursuant to the valuation hierarchy. There have been no significant changes in the valuation techniques during the period ended September 30, 2026.</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Debt securities, available-for-sal</w:t>
      </w:r>
      <w:r>
        <w:rPr>
          <w:rFonts w:ascii="Times New Roman" w:cs="Times New Roman" w:eastAsia="Times New Roman" w:hAnsi="Times New Roman"/>
          <w:sz w:val="18"/>
          <w:szCs w:val="18"/>
          <w:color w:val="auto"/>
        </w:rPr>
        <w:t>e. The fair value for AFS debt securities is estimated by obtaining quoted market prices for identical assets,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If such prices are not available, fair value is based on independent asset pricing services and models, the inputs of which are market-based or independently sourced market parameters, including but not limited to, yield curves, interest rates, volatilities, market spreads, prepayments, defaults, recoveries, cumulative loss projections, and cash flows. Such securities are classified in Level 2 of the valuation hierarchy. Where Level 1 or Level 2 significant inputs are not available, such securities are classified as Level 3 within the hierarchy.</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Fair value determinations of AFS debt securities are the responsibility of the Company’s corporate accounting and treasury departments. The Company obtains fair value estimates from independent third party vendors on a monthly basis. The vendors’ pricing system methodologies, procedures and system controls are reviewed to ensure they are appropriately designed and operating effectively. The Company reviews the vendors’ inputs for fair value estimates and the recommended assignments of levels within the fair value hierarchy. The review includes the extent to which markets for debt securities are determined to have limited or no activity, or are judged to be active markets. The Company reviews the extent to which observable and unobservable inputs are used as well as the appropriateness of the underlying assumptions about risk that a market participant would use in active markets, with adjustments for limited or inactive markets. In considering the inputs to the fair value estimates, the Company places less reliance on quotes that are judged to not reflect orderly transactions, or are non-binding indications. In assessing credit risk, the Company reviews payment performance, collateral adequacy, third party research and analyses, credit rating histories and issuers’ financial statements. For those markets determined to be inactive or limited, the valuation techniques used are models for which management has verified that discount rates are appropriately adjusted to reflect illiquidity and credit risk.</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Loans held for sale, at fair value. </w:t>
      </w:r>
      <w:r>
        <w:rPr>
          <w:rFonts w:ascii="Times New Roman" w:cs="Times New Roman" w:eastAsia="Times New Roman" w:hAnsi="Times New Roman"/>
          <w:sz w:val="18"/>
          <w:szCs w:val="18"/>
          <w:color w:val="auto"/>
        </w:rPr>
        <w:t>Loans held for sale measured at fair value, for which an active secondary market and readily available market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 are initially valued at the transaction price and are subsequently valued by using quoted prices for similar assets, adjusted for specific attributes of that loan or other observable market data, such as outstanding commitments from third party investors. Loans held for sale measured at fair value are classified within Level 2. Included in gain on sale of loans were net losses of $962,000 and net gains of $419,000 for the nine month periods ended September 30, 2026 and 2025, respectively, from the changes in fair value of loans held for sale measured at fair value. Electing to measure loans held for sale at fair value reduces certain timing differences and better matches changes in fair value of these assets with changes in the value of the derivative instruments used to economically hedge them without the burden of complying with the requirements for hedge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4" w:name="page45"/>
    <w:bookmarkEnd w:id="44"/>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 interest rate lock commitments. </w:t>
      </w:r>
      <w:r>
        <w:rPr>
          <w:rFonts w:ascii="Times New Roman" w:cs="Times New Roman" w:eastAsia="Times New Roman" w:hAnsi="Times New Roman"/>
          <w:sz w:val="18"/>
          <w:szCs w:val="18"/>
          <w:color w:val="auto"/>
        </w:rPr>
        <w:t>Fair value estimates for loan interest rate lock commitments are based upon the estimated sales price, origination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 costs, interest rate changes, etc. and are obtained from an independent third party. The components of the valuation were observable or could be corroborated by observable market data and, therefore, were classified within Level 2 of the valuation hierarchy.</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Forward commitments to sell TBA securities. </w:t>
      </w:r>
      <w:r>
        <w:rPr>
          <w:rFonts w:ascii="Times New Roman" w:cs="Times New Roman" w:eastAsia="Times New Roman" w:hAnsi="Times New Roman"/>
          <w:sz w:val="18"/>
          <w:szCs w:val="18"/>
          <w:color w:val="auto"/>
        </w:rPr>
        <w:t>Forward commitments to sell TBA securities are used to economically hedge the interest rate risk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certain loan commitments. The fair value estimates for the TBA commitments are based upon the estimated sale of the TBA hedge obtained from an independent third party. The components of the valuation were observable or could be corroborated by observable market data and, therefore, were classified within Level 2 of the valuation hierarchy.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cap derivative financial instruments. </w:t>
      </w:r>
      <w:r>
        <w:rPr>
          <w:rFonts w:ascii="Times New Roman" w:cs="Times New Roman" w:eastAsia="Times New Roman" w:hAnsi="Times New Roman"/>
          <w:sz w:val="18"/>
          <w:szCs w:val="18"/>
          <w:color w:val="auto"/>
        </w:rPr>
        <w:t>Fair value estimates for interest rate cap derivative financial instruments are based upon the discounted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flows of known payments plus the option value of each cap which incorporates market rate forecasts and implied market volatilities. The components of the valuation were observable or could be corroborated by observable market data and, therefore, were classified within Level 2 of the valuation hierarchy. The Company also obtained and compared the reasonableness of the pricing from independent third party valuations.</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Interest rate swap derivative financial instruments. </w:t>
      </w:r>
      <w:r>
        <w:rPr>
          <w:rFonts w:ascii="Times New Roman" w:cs="Times New Roman" w:eastAsia="Times New Roman" w:hAnsi="Times New Roman"/>
          <w:sz w:val="18"/>
          <w:szCs w:val="18"/>
          <w:color w:val="auto"/>
        </w:rPr>
        <w:t>Fair value estimates for interest rate swap derivative financial instruments are based upon the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to settle the contracts considering current interest rates and are calculated using discounted cash flows. The inputs used to determine fair value include the compounded overnight SOFR rate to estimate variable rate cash inflows and the overnight SOFR swap rate to estimate the discount rate. The estimated variable rate cash inflows are compared to the fixed rate outflows and such difference was discounted to a present value to estimate the fair value of the interest rate swaps. The components of the valuation were observable or could be corroborated by observable market data and, therefore, were classified within Level 2 of the valuation hierarchy. The Company also obtained and compared the reasonableness of the pricing from independent third party valuations.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disclose the fair value measurement of assets and liabilities measured at fair value on a recurring basis: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9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8"/>
              </w:rPr>
              <w:t>Fair Value Measurements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rPr>
              <w:t>At the End of the Reporting Period Using</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Quoted Prices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center"/>
              <w:ind w:right="280"/>
              <w:spacing w:after="0" w:line="191" w:lineRule="exact"/>
              <w:rPr>
                <w:sz w:val="20"/>
                <w:szCs w:val="20"/>
                <w:color w:val="auto"/>
              </w:rPr>
            </w:pPr>
            <w:r>
              <w:rPr>
                <w:rFonts w:ascii="Times New Roman" w:cs="Times New Roman" w:eastAsia="Times New Roman" w:hAnsi="Times New Roman"/>
                <w:sz w:val="18"/>
                <w:szCs w:val="18"/>
                <w:color w:val="auto"/>
              </w:rPr>
              <w:t>Significant</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in Active Markets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280"/>
              <w:spacing w:after="0" w:line="181" w:lineRule="exact"/>
              <w:rPr>
                <w:sz w:val="20"/>
                <w:szCs w:val="20"/>
                <w:color w:val="auto"/>
              </w:rPr>
            </w:pPr>
            <w:r>
              <w:rPr>
                <w:rFonts w:ascii="Times New Roman" w:cs="Times New Roman" w:eastAsia="Times New Roman" w:hAnsi="Times New Roman"/>
                <w:sz w:val="18"/>
                <w:szCs w:val="18"/>
                <w:color w:val="auto"/>
                <w:w w:val="97"/>
              </w:rPr>
              <w:t>Other</w:t>
            </w:r>
          </w:p>
        </w:tc>
        <w:tc>
          <w:tcPr>
            <w:tcW w:w="136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w w:val="96"/>
              </w:rPr>
              <w:t>Fair Value</w:t>
            </w:r>
          </w:p>
        </w:tc>
        <w:tc>
          <w:tcPr>
            <w:tcW w:w="1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for Identical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9"/>
              </w:rPr>
              <w:t>Observable</w:t>
            </w:r>
          </w:p>
        </w:tc>
        <w:tc>
          <w:tcPr>
            <w:tcW w:w="13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Unobservable</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Assets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7"/>
              </w:rPr>
              <w:t>Inputs</w:t>
            </w:r>
          </w:p>
        </w:tc>
        <w:tc>
          <w:tcPr>
            <w:tcW w:w="13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175"/>
        </w:trPr>
        <w:tc>
          <w:tcPr>
            <w:tcW w:w="47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(Dollars in thousands)</w:t>
            </w:r>
          </w:p>
        </w:tc>
        <w:tc>
          <w:tcPr>
            <w:tcW w:w="1640" w:type="dxa"/>
            <w:vAlign w:val="bottom"/>
            <w:gridSpan w:val="3"/>
          </w:tcPr>
          <w:p>
            <w:pPr>
              <w:jc w:val="center"/>
              <w:ind w:right="120"/>
              <w:spacing w:after="0" w:line="156" w:lineRule="exact"/>
              <w:rPr>
                <w:sz w:val="20"/>
                <w:szCs w:val="20"/>
                <w:color w:val="auto"/>
              </w:rPr>
            </w:pPr>
            <w:r>
              <w:rPr>
                <w:rFonts w:ascii="Times New Roman" w:cs="Times New Roman" w:eastAsia="Times New Roman" w:hAnsi="Times New Roman"/>
                <w:sz w:val="18"/>
                <w:szCs w:val="18"/>
                <w:color w:val="auto"/>
                <w:w w:val="99"/>
              </w:rPr>
              <w:t>September 30, 2026</w:t>
            </w:r>
          </w:p>
        </w:tc>
        <w:tc>
          <w:tcPr>
            <w:tcW w:w="146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(Level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260"/>
              <w:spacing w:after="0" w:line="156" w:lineRule="exact"/>
              <w:rPr>
                <w:sz w:val="20"/>
                <w:szCs w:val="20"/>
                <w:color w:val="auto"/>
              </w:rPr>
            </w:pPr>
            <w:r>
              <w:rPr>
                <w:rFonts w:ascii="Times New Roman" w:cs="Times New Roman" w:eastAsia="Times New Roman" w:hAnsi="Times New Roman"/>
                <w:sz w:val="18"/>
                <w:szCs w:val="18"/>
                <w:color w:val="auto"/>
                <w:w w:val="99"/>
              </w:rPr>
              <w:t>(Level 2)</w:t>
            </w:r>
          </w:p>
        </w:tc>
        <w:tc>
          <w:tcPr>
            <w:tcW w:w="1360" w:type="dxa"/>
            <w:vAlign w:val="bottom"/>
          </w:tcPr>
          <w:p>
            <w:pPr>
              <w:jc w:val="center"/>
              <w:ind w:right="90"/>
              <w:spacing w:after="0" w:line="156" w:lineRule="exact"/>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34"/>
        </w:trPr>
        <w:tc>
          <w:tcPr>
            <w:tcW w:w="1280" w:type="dxa"/>
            <w:vAlign w:val="bottom"/>
            <w:tcBorders>
              <w:top w:val="single" w:sz="8" w:color="auto"/>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 available-for-sale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government and federal agency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63,748</w:t>
            </w:r>
          </w:p>
        </w:tc>
        <w:tc>
          <w:tcPr>
            <w:tcW w:w="120" w:type="dxa"/>
            <w:vAlign w:val="bottom"/>
          </w:tcPr>
          <w:p>
            <w:pPr>
              <w:spacing w:after="0"/>
              <w:rPr>
                <w:sz w:val="21"/>
                <w:szCs w:val="21"/>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63,748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sponsored enterprises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124,781</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120,463</w:t>
            </w:r>
          </w:p>
        </w:tc>
        <w:tc>
          <w:tcPr>
            <w:tcW w:w="120" w:type="dxa"/>
            <w:vAlign w:val="bottom"/>
          </w:tcPr>
          <w:p>
            <w:pPr>
              <w:spacing w:after="0"/>
              <w:rPr>
                <w:sz w:val="21"/>
                <w:szCs w:val="21"/>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120,463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1,813,700</w:t>
            </w:r>
          </w:p>
        </w:tc>
        <w:tc>
          <w:tcPr>
            <w:tcW w:w="120" w:type="dxa"/>
            <w:vAlign w:val="bottom"/>
          </w:tcPr>
          <w:p>
            <w:pPr>
              <w:spacing w:after="0"/>
              <w:rPr>
                <w:sz w:val="21"/>
                <w:szCs w:val="21"/>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1,813,700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1,461,541</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1,461,541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37,611</w:t>
            </w:r>
          </w:p>
        </w:tc>
        <w:tc>
          <w:tcPr>
            <w:tcW w:w="120" w:type="dxa"/>
            <w:vAlign w:val="bottom"/>
          </w:tcPr>
          <w:p>
            <w:pPr>
              <w:spacing w:after="0"/>
              <w:rPr>
                <w:sz w:val="21"/>
                <w:szCs w:val="21"/>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37,611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28,048</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locks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21"/>
                <w:szCs w:val="21"/>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TBA hedge</w:t>
            </w: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4760" w:type="dxa"/>
            <w:vAlign w:val="bottom"/>
            <w:gridSpan w:val="2"/>
          </w:tcPr>
          <w:p>
            <w:pPr>
              <w:ind w:left="660"/>
              <w:spacing w:after="0" w:line="177" w:lineRule="exact"/>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3,663,045</w:t>
            </w:r>
          </w:p>
        </w:tc>
        <w:tc>
          <w:tcPr>
            <w:tcW w:w="120" w:type="dxa"/>
            <w:vAlign w:val="bottom"/>
          </w:tcPr>
          <w:p>
            <w:pPr>
              <w:spacing w:after="0"/>
              <w:rPr>
                <w:sz w:val="15"/>
                <w:szCs w:val="15"/>
                <w:color w:val="auto"/>
              </w:rPr>
            </w:pPr>
          </w:p>
        </w:tc>
        <w:tc>
          <w:tcPr>
            <w:tcW w:w="1460" w:type="dxa"/>
            <w:vAlign w:val="bottom"/>
            <w:vMerge w:val="restart"/>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3,663,045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restart"/>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47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on a recurring basis</w:t>
            </w:r>
          </w:p>
        </w:tc>
        <w:tc>
          <w:tcPr>
            <w:tcW w:w="2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45" w:name="page46"/>
    <w:bookmarkEnd w:id="45"/>
    <w:tbl>
      <w:tblPr>
        <w:tblLayout w:type="fixed"/>
        <w:tblInd w:w="4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9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8"/>
              </w:rPr>
              <w:t>Fair Value Measurements</w:t>
            </w:r>
          </w:p>
        </w:tc>
        <w:tc>
          <w:tcPr>
            <w:tcW w:w="1360" w:type="dxa"/>
            <w:vAlign w:val="bottom"/>
          </w:tcPr>
          <w:p>
            <w:pPr>
              <w:spacing w:after="0"/>
              <w:rPr>
                <w:sz w:val="17"/>
                <w:szCs w:val="17"/>
                <w:color w:val="auto"/>
              </w:rPr>
            </w:pPr>
          </w:p>
        </w:tc>
      </w:tr>
      <w:tr>
        <w:trPr>
          <w:trHeight w:val="239"/>
        </w:trPr>
        <w:tc>
          <w:tcPr>
            <w:tcW w:w="1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rPr>
              <w:t>At the End of the Reporting Period Using</w:t>
            </w:r>
          </w:p>
        </w:tc>
      </w:tr>
      <w:tr>
        <w:trPr>
          <w:trHeight w:val="187"/>
        </w:trPr>
        <w:tc>
          <w:tcPr>
            <w:tcW w:w="12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rPr>
              <w:t>Quoted Prices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center"/>
              <w:ind w:right="280"/>
              <w:spacing w:after="0" w:line="187" w:lineRule="exact"/>
              <w:rPr>
                <w:sz w:val="20"/>
                <w:szCs w:val="20"/>
                <w:color w:val="auto"/>
              </w:rPr>
            </w:pPr>
            <w:r>
              <w:rPr>
                <w:rFonts w:ascii="Times New Roman" w:cs="Times New Roman" w:eastAsia="Times New Roman" w:hAnsi="Times New Roman"/>
                <w:sz w:val="18"/>
                <w:szCs w:val="18"/>
                <w:color w:val="auto"/>
              </w:rPr>
              <w:t>Significant</w:t>
            </w:r>
          </w:p>
        </w:tc>
        <w:tc>
          <w:tcPr>
            <w:tcW w:w="1360" w:type="dxa"/>
            <w:vAlign w:val="bottom"/>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in Active Markets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auto"/>
                <w:w w:val="97"/>
              </w:rPr>
              <w:t>Other</w:t>
            </w:r>
          </w:p>
        </w:tc>
        <w:tc>
          <w:tcPr>
            <w:tcW w:w="13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rPr>
              <w:t>Significant</w:t>
            </w:r>
          </w:p>
        </w:tc>
      </w:tr>
      <w:tr>
        <w:trPr>
          <w:trHeight w:val="176"/>
        </w:trPr>
        <w:tc>
          <w:tcPr>
            <w:tcW w:w="1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for Identical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13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Unobservable</w:t>
            </w:r>
          </w:p>
        </w:tc>
      </w:tr>
      <w:tr>
        <w:trPr>
          <w:trHeight w:val="189"/>
        </w:trPr>
        <w:tc>
          <w:tcPr>
            <w:tcW w:w="12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80"/>
              <w:spacing w:after="0" w:line="189" w:lineRule="exact"/>
              <w:rPr>
                <w:sz w:val="20"/>
                <w:szCs w:val="20"/>
                <w:color w:val="auto"/>
              </w:rPr>
            </w:pPr>
            <w:r>
              <w:rPr>
                <w:rFonts w:ascii="Times New Roman" w:cs="Times New Roman" w:eastAsia="Times New Roman" w:hAnsi="Times New Roman"/>
                <w:sz w:val="18"/>
                <w:szCs w:val="18"/>
                <w:color w:val="auto"/>
                <w:w w:val="96"/>
              </w:rPr>
              <w:t>Fair Value</w:t>
            </w:r>
          </w:p>
        </w:tc>
        <w:tc>
          <w:tcPr>
            <w:tcW w:w="1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Assets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auto"/>
                <w:w w:val="97"/>
              </w:rPr>
              <w:t>Inputs</w:t>
            </w:r>
          </w:p>
        </w:tc>
        <w:tc>
          <w:tcPr>
            <w:tcW w:w="13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7"/>
              </w:rPr>
              <w:t>Inputs</w:t>
            </w:r>
          </w:p>
        </w:tc>
      </w:tr>
      <w:tr>
        <w:trPr>
          <w:trHeight w:val="175"/>
        </w:trPr>
        <w:tc>
          <w:tcPr>
            <w:tcW w:w="47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(Dollars in thousands)</w:t>
            </w:r>
          </w:p>
        </w:tc>
        <w:tc>
          <w:tcPr>
            <w:tcW w:w="1640" w:type="dxa"/>
            <w:vAlign w:val="bottom"/>
            <w:gridSpan w:val="3"/>
          </w:tcPr>
          <w:p>
            <w:pPr>
              <w:jc w:val="center"/>
              <w:ind w:right="140"/>
              <w:spacing w:after="0" w:line="156" w:lineRule="exact"/>
              <w:rPr>
                <w:sz w:val="20"/>
                <w:szCs w:val="20"/>
                <w:color w:val="auto"/>
              </w:rPr>
            </w:pPr>
            <w:r>
              <w:rPr>
                <w:rFonts w:ascii="Times New Roman" w:cs="Times New Roman" w:eastAsia="Times New Roman" w:hAnsi="Times New Roman"/>
                <w:sz w:val="18"/>
                <w:szCs w:val="18"/>
                <w:color w:val="auto"/>
              </w:rPr>
              <w:t>December 31, 2025</w:t>
            </w:r>
          </w:p>
        </w:tc>
        <w:tc>
          <w:tcPr>
            <w:tcW w:w="146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(Level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260"/>
              <w:spacing w:after="0" w:line="156" w:lineRule="exact"/>
              <w:rPr>
                <w:sz w:val="20"/>
                <w:szCs w:val="20"/>
                <w:color w:val="auto"/>
              </w:rPr>
            </w:pPr>
            <w:r>
              <w:rPr>
                <w:rFonts w:ascii="Times New Roman" w:cs="Times New Roman" w:eastAsia="Times New Roman" w:hAnsi="Times New Roman"/>
                <w:sz w:val="18"/>
                <w:szCs w:val="18"/>
                <w:color w:val="auto"/>
                <w:w w:val="99"/>
              </w:rPr>
              <w:t>(Level 2)</w:t>
            </w:r>
          </w:p>
        </w:tc>
        <w:tc>
          <w:tcPr>
            <w:tcW w:w="1360" w:type="dxa"/>
            <w:vAlign w:val="bottom"/>
          </w:tcPr>
          <w:p>
            <w:pPr>
              <w:jc w:val="center"/>
              <w:ind w:right="90"/>
              <w:spacing w:after="0" w:line="156" w:lineRule="exact"/>
              <w:rPr>
                <w:sz w:val="20"/>
                <w:szCs w:val="20"/>
                <w:color w:val="auto"/>
              </w:rPr>
            </w:pPr>
            <w:r>
              <w:rPr>
                <w:rFonts w:ascii="Times New Roman" w:cs="Times New Roman" w:eastAsia="Times New Roman" w:hAnsi="Times New Roman"/>
                <w:sz w:val="18"/>
                <w:szCs w:val="18"/>
                <w:color w:val="auto"/>
                <w:w w:val="99"/>
              </w:rPr>
              <w:t>(Level 3)</w:t>
            </w:r>
          </w:p>
        </w:tc>
      </w:tr>
      <w:tr>
        <w:trPr>
          <w:trHeight w:val="34"/>
        </w:trPr>
        <w:tc>
          <w:tcPr>
            <w:tcW w:w="1280" w:type="dxa"/>
            <w:vAlign w:val="bottom"/>
            <w:tcBorders>
              <w:top w:val="single" w:sz="8" w:color="auto"/>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 available-for-sale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3"/>
        </w:trPr>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government and federal agency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255,930</w:t>
            </w:r>
          </w:p>
        </w:tc>
        <w:tc>
          <w:tcPr>
            <w:tcW w:w="120" w:type="dxa"/>
            <w:vAlign w:val="bottom"/>
          </w:tcPr>
          <w:p>
            <w:pPr>
              <w:spacing w:after="0"/>
              <w:rPr>
                <w:sz w:val="21"/>
                <w:szCs w:val="21"/>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255,930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sponsored enterprises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312,488</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164,084</w:t>
            </w:r>
          </w:p>
        </w:tc>
        <w:tc>
          <w:tcPr>
            <w:tcW w:w="120" w:type="dxa"/>
            <w:vAlign w:val="bottom"/>
          </w:tcPr>
          <w:p>
            <w:pPr>
              <w:spacing w:after="0"/>
              <w:rPr>
                <w:sz w:val="21"/>
                <w:szCs w:val="21"/>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164,084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33,949</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2,215,119</w:t>
            </w:r>
          </w:p>
        </w:tc>
        <w:tc>
          <w:tcPr>
            <w:tcW w:w="120" w:type="dxa"/>
            <w:vAlign w:val="bottom"/>
          </w:tcPr>
          <w:p>
            <w:pPr>
              <w:spacing w:after="0"/>
              <w:rPr>
                <w:sz w:val="21"/>
                <w:szCs w:val="21"/>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2,215,119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1,025,942</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39,186</w:t>
            </w:r>
          </w:p>
        </w:tc>
        <w:tc>
          <w:tcPr>
            <w:tcW w:w="120" w:type="dxa"/>
            <w:vAlign w:val="bottom"/>
          </w:tcPr>
          <w:p>
            <w:pPr>
              <w:spacing w:after="0"/>
              <w:rPr>
                <w:sz w:val="21"/>
                <w:szCs w:val="21"/>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locks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21"/>
                <w:szCs w:val="21"/>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assets measured at fair value on a recurring basis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4,049,770</w:t>
            </w:r>
          </w:p>
        </w:tc>
        <w:tc>
          <w:tcPr>
            <w:tcW w:w="120" w:type="dxa"/>
            <w:vAlign w:val="bottom"/>
          </w:tcPr>
          <w:p>
            <w:pPr>
              <w:spacing w:after="0"/>
              <w:rPr>
                <w:sz w:val="20"/>
                <w:szCs w:val="20"/>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4,049,770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Non-recurring Measurements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is a description of the inputs and valuation methodologies used for assets recorded at fair value on a non-recurring basis, as well as the general classification of such assets pursuant to the valuation hierarchy. There have been no significant changes in the valuation techniques during the period ended September 30, 2026.</w:t>
      </w:r>
    </w:p>
    <w:p>
      <w:pPr>
        <w:spacing w:after="0" w:line="21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real estate owned. </w:t>
      </w:r>
      <w:r>
        <w:rPr>
          <w:rFonts w:ascii="Times New Roman" w:cs="Times New Roman" w:eastAsia="Times New Roman" w:hAnsi="Times New Roman"/>
          <w:sz w:val="18"/>
          <w:szCs w:val="18"/>
          <w:color w:val="auto"/>
        </w:rPr>
        <w:t>OREO is initially recorded at fair value less estimated cost to sell, establishing a new cost basis. OREO is subsequently accounted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at lower of cost or fair value less estimated cost to sell. Estimated fair value of OREO is based on appraisals or evaluations (new or updated). OREO is classified within Level 3 of the fair value hierarchy.</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Collateral-dependent loans, net of ACL. </w:t>
      </w:r>
      <w:r>
        <w:rPr>
          <w:rFonts w:ascii="Times New Roman" w:cs="Times New Roman" w:eastAsia="Times New Roman" w:hAnsi="Times New Roman"/>
          <w:sz w:val="18"/>
          <w:szCs w:val="18"/>
          <w:color w:val="auto"/>
        </w:rPr>
        <w:t>Fair value estimates of collateral-dependent loans that are individually reviewed are based on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less estimated cost to sell. Collateral-dependent individually reviewed loans are classified within Level 3 of the fair value hierarchy.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credit department reviews appraisals for OREO and collateral-dependent loans, giving consideration to the highest and best use of the collateral. The appraisal or evaluation (new or updated) is considered the starting point for determining fair value. The valuation techniques used in preparing appraisals or evaluations (new or updated) include the cost approach, income approach, sales comparison approach, or a combination of the preceding valuation techniques. The key inputs used to determine the fair value of the collateral-dependent loans and OREO include selling costs, discounted cash flow rate or capitalization rate, and adjustment to comparables. Valuations and significant inputs obtained by independent sources are reviewed by the Company for accuracy and reasonableness. The Company also considers other factors and events in the environment that may affect the fair value. The appraisals or evaluations (new or updated) are reviewed at least quarterly and more frequently based on current market conditions, including deterioration in a borrower’s financial condition and when property values may be subject to significant volatility. After review and acceptance of the collateral appraisal or evaluation (new or updated), adjustments to the impaired loan or OREO may occur. The Company generally obtains appraisals or evaluations (new or updated)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46" w:name="page47"/>
    <w:bookmarkEnd w:id="46"/>
    <w:p>
      <w:pPr>
        <w:spacing w:after="0" w:line="281" w:lineRule="auto"/>
        <w:rPr>
          <w:sz w:val="20"/>
          <w:szCs w:val="20"/>
          <w:color w:val="auto"/>
        </w:rPr>
      </w:pPr>
      <w:r>
        <w:rPr>
          <w:rFonts w:ascii="Times New Roman" w:cs="Times New Roman" w:eastAsia="Times New Roman" w:hAnsi="Times New Roman"/>
          <w:sz w:val="18"/>
          <w:szCs w:val="18"/>
          <w:color w:val="auto"/>
        </w:rPr>
        <w:t>The following tables disclose the fair value measurement of assets with a recorded change during the period resulting from re-measuring the assets at fair value on a non-recurring basis:</w:t>
      </w:r>
    </w:p>
    <w:tbl>
      <w:tblPr>
        <w:tblLayout w:type="fixed"/>
        <w:tblInd w:w="40" w:type="dxa"/>
        <w:tblCellMar>
          <w:top w:w="0" w:type="dxa"/>
          <w:left w:w="0" w:type="dxa"/>
          <w:bottom w:w="0" w:type="dxa"/>
          <w:right w:w="0" w:type="dxa"/>
        </w:tblCellMar>
      </w:tblPr>
      <w:tr>
        <w:trPr>
          <w:trHeight w:val="182"/>
        </w:trPr>
        <w:tc>
          <w:tcPr>
            <w:tcW w:w="1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960" w:type="dxa"/>
            <w:vAlign w:val="bottom"/>
            <w:gridSpan w:val="5"/>
          </w:tcPr>
          <w:p>
            <w:pPr>
              <w:jc w:val="center"/>
              <w:ind w:right="120"/>
              <w:spacing w:after="0" w:line="182" w:lineRule="exact"/>
              <w:rPr>
                <w:sz w:val="20"/>
                <w:szCs w:val="20"/>
                <w:color w:val="auto"/>
              </w:rPr>
            </w:pPr>
            <w:r>
              <w:rPr>
                <w:rFonts w:ascii="Times New Roman" w:cs="Times New Roman" w:eastAsia="Times New Roman" w:hAnsi="Times New Roman"/>
                <w:sz w:val="18"/>
                <w:szCs w:val="18"/>
                <w:color w:val="auto"/>
                <w:w w:val="98"/>
              </w:rPr>
              <w:t>Fair Value Measurements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rPr>
              <w:t>At the End of the Reporting Period Using</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rPr>
              <w:t>Quoted Prices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center"/>
              <w:ind w:right="280"/>
              <w:spacing w:after="0" w:line="187" w:lineRule="exact"/>
              <w:rPr>
                <w:sz w:val="20"/>
                <w:szCs w:val="20"/>
                <w:color w:val="auto"/>
              </w:rPr>
            </w:pPr>
            <w:r>
              <w:rPr>
                <w:rFonts w:ascii="Times New Roman" w:cs="Times New Roman" w:eastAsia="Times New Roman" w:hAnsi="Times New Roman"/>
                <w:sz w:val="18"/>
                <w:szCs w:val="18"/>
                <w:color w:val="auto"/>
              </w:rPr>
              <w:t>Significant</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in Active Markets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auto"/>
                <w:w w:val="97"/>
              </w:rPr>
              <w:t>Other</w:t>
            </w:r>
          </w:p>
        </w:tc>
        <w:tc>
          <w:tcPr>
            <w:tcW w:w="13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for Identical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13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Unobservable</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80"/>
              <w:spacing w:after="0" w:line="189" w:lineRule="exact"/>
              <w:rPr>
                <w:sz w:val="20"/>
                <w:szCs w:val="20"/>
                <w:color w:val="auto"/>
              </w:rPr>
            </w:pPr>
            <w:r>
              <w:rPr>
                <w:rFonts w:ascii="Times New Roman" w:cs="Times New Roman" w:eastAsia="Times New Roman" w:hAnsi="Times New Roman"/>
                <w:sz w:val="18"/>
                <w:szCs w:val="18"/>
                <w:color w:val="auto"/>
                <w:w w:val="96"/>
              </w:rPr>
              <w:t>Fair Value</w:t>
            </w:r>
          </w:p>
        </w:tc>
        <w:tc>
          <w:tcPr>
            <w:tcW w:w="1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Assets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auto"/>
                <w:w w:val="97"/>
              </w:rPr>
              <w:t>Inputs</w:t>
            </w:r>
          </w:p>
        </w:tc>
        <w:tc>
          <w:tcPr>
            <w:tcW w:w="13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176"/>
        </w:trPr>
        <w:tc>
          <w:tcPr>
            <w:tcW w:w="47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(Dollars in thousands)</w:t>
            </w:r>
          </w:p>
        </w:tc>
        <w:tc>
          <w:tcPr>
            <w:tcW w:w="1640" w:type="dxa"/>
            <w:vAlign w:val="bottom"/>
            <w:gridSpan w:val="3"/>
          </w:tcPr>
          <w:p>
            <w:pPr>
              <w:jc w:val="center"/>
              <w:ind w:right="120"/>
              <w:spacing w:after="0" w:line="156" w:lineRule="exact"/>
              <w:rPr>
                <w:sz w:val="20"/>
                <w:szCs w:val="20"/>
                <w:color w:val="auto"/>
              </w:rPr>
            </w:pPr>
            <w:r>
              <w:rPr>
                <w:rFonts w:ascii="Times New Roman" w:cs="Times New Roman" w:eastAsia="Times New Roman" w:hAnsi="Times New Roman"/>
                <w:sz w:val="18"/>
                <w:szCs w:val="18"/>
                <w:color w:val="auto"/>
                <w:w w:val="99"/>
              </w:rPr>
              <w:t>September 30, 2026</w:t>
            </w:r>
          </w:p>
        </w:tc>
        <w:tc>
          <w:tcPr>
            <w:tcW w:w="146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(Level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260"/>
              <w:spacing w:after="0" w:line="156" w:lineRule="exact"/>
              <w:rPr>
                <w:sz w:val="20"/>
                <w:szCs w:val="20"/>
                <w:color w:val="auto"/>
              </w:rPr>
            </w:pPr>
            <w:r>
              <w:rPr>
                <w:rFonts w:ascii="Times New Roman" w:cs="Times New Roman" w:eastAsia="Times New Roman" w:hAnsi="Times New Roman"/>
                <w:sz w:val="18"/>
                <w:szCs w:val="18"/>
                <w:color w:val="auto"/>
                <w:w w:val="99"/>
              </w:rPr>
              <w:t>(Level 2)</w:t>
            </w:r>
          </w:p>
        </w:tc>
        <w:tc>
          <w:tcPr>
            <w:tcW w:w="1360" w:type="dxa"/>
            <w:vAlign w:val="bottom"/>
          </w:tcPr>
          <w:p>
            <w:pPr>
              <w:jc w:val="center"/>
              <w:ind w:right="90"/>
              <w:spacing w:after="0" w:line="156" w:lineRule="exact"/>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34"/>
        </w:trPr>
        <w:tc>
          <w:tcPr>
            <w:tcW w:w="1280" w:type="dxa"/>
            <w:vAlign w:val="bottom"/>
            <w:tcBorders>
              <w:top w:val="single" w:sz="8" w:color="auto"/>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3"/>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Collateral-dependent impaired loans, net of ACL</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169"/>
        </w:trPr>
        <w:tc>
          <w:tcPr>
            <w:tcW w:w="4760" w:type="dxa"/>
            <w:vAlign w:val="bottom"/>
            <w:gridSpan w:val="2"/>
            <w:shd w:val="clear" w:color="auto" w:fill="CCEEFF"/>
          </w:tcPr>
          <w:p>
            <w:pPr>
              <w:ind w:left="340"/>
              <w:spacing w:after="0" w:line="169" w:lineRule="exact"/>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4"/>
                <w:szCs w:val="14"/>
                <w:color w:val="auto"/>
              </w:rPr>
            </w:pPr>
          </w:p>
        </w:tc>
        <w:tc>
          <w:tcPr>
            <w:tcW w:w="160" w:type="dxa"/>
            <w:vAlign w:val="bottom"/>
            <w:vMerge w:val="restart"/>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76"/>
        </w:trPr>
        <w:tc>
          <w:tcPr>
            <w:tcW w:w="47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on a non-recurring basis</w:t>
            </w:r>
          </w:p>
        </w:tc>
        <w:tc>
          <w:tcPr>
            <w:tcW w:w="240" w:type="dxa"/>
            <w:vAlign w:val="bottom"/>
            <w:tcBorders>
              <w:bottom w:val="single" w:sz="8" w:color="auto"/>
            </w:tcBorders>
            <w:vMerge w:val="continue"/>
            <w:shd w:val="clear" w:color="auto" w:fill="CCEEFF"/>
          </w:tcPr>
          <w:p>
            <w:pPr>
              <w:spacing w:after="0"/>
              <w:rPr>
                <w:sz w:val="24"/>
                <w:szCs w:val="24"/>
                <w:color w:val="auto"/>
              </w:rPr>
            </w:pPr>
          </w:p>
        </w:tc>
        <w:tc>
          <w:tcPr>
            <w:tcW w:w="1280" w:type="dxa"/>
            <w:vAlign w:val="bottom"/>
            <w:tcBorders>
              <w:bottom w:val="single" w:sz="8" w:color="auto"/>
            </w:tcBorders>
            <w:vMerge w:val="continue"/>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vMerge w:val="continue"/>
            <w:shd w:val="clear" w:color="auto" w:fill="CCEEFF"/>
          </w:tcPr>
          <w:p>
            <w:pPr>
              <w:spacing w:after="0"/>
              <w:rPr>
                <w:sz w:val="24"/>
                <w:szCs w:val="24"/>
                <w:color w:val="auto"/>
              </w:rPr>
            </w:pPr>
          </w:p>
        </w:tc>
        <w:tc>
          <w:tcPr>
            <w:tcW w:w="160" w:type="dxa"/>
            <w:vAlign w:val="bottom"/>
            <w:tcBorders>
              <w:bottom w:val="single" w:sz="8" w:color="auto"/>
            </w:tcBorders>
            <w:vMerge w:val="continue"/>
            <w:shd w:val="clear" w:color="auto" w:fill="CCEEFF"/>
          </w:tcPr>
          <w:p>
            <w:pPr>
              <w:spacing w:after="0"/>
              <w:rPr>
                <w:sz w:val="24"/>
                <w:szCs w:val="24"/>
                <w:color w:val="auto"/>
              </w:rPr>
            </w:pPr>
          </w:p>
        </w:tc>
        <w:tc>
          <w:tcPr>
            <w:tcW w:w="1360" w:type="dxa"/>
            <w:vAlign w:val="bottom"/>
            <w:tcBorders>
              <w:bottom w:val="single" w:sz="8" w:color="auto"/>
            </w:tcBorders>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auto"/>
        </w:rPr>
        <w:t>(Dollars in thousands)</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Collateral-dependent impaired loans, net of ACL</w:t>
      </w:r>
    </w:p>
    <w:p>
      <w:pPr>
        <w:spacing w:after="0" w:line="50" w:lineRule="exact"/>
        <w:rPr>
          <w:sz w:val="20"/>
          <w:szCs w:val="20"/>
          <w:color w:val="auto"/>
        </w:rPr>
      </w:pPr>
    </w:p>
    <w:p>
      <w:pPr>
        <w:ind w:left="460" w:right="1240" w:hanging="89"/>
        <w:spacing w:after="0" w:line="237" w:lineRule="auto"/>
        <w:rPr>
          <w:sz w:val="20"/>
          <w:szCs w:val="20"/>
          <w:color w:val="auto"/>
        </w:rPr>
      </w:pPr>
      <w:r>
        <w:rPr>
          <w:rFonts w:ascii="Times New Roman" w:cs="Times New Roman" w:eastAsia="Times New Roman" w:hAnsi="Times New Roman"/>
          <w:sz w:val="18"/>
          <w:szCs w:val="18"/>
          <w:color w:val="auto"/>
        </w:rPr>
        <w:t>Total assets measured at fair value on a non-recurring basis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9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8"/>
              </w:rPr>
              <w:t>Fair Value Measurements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rPr>
              <w:t>At the End of the Reporting Period Using</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rPr>
              <w:t>Quoted Prices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center"/>
              <w:ind w:right="280"/>
              <w:spacing w:after="0" w:line="187" w:lineRule="exact"/>
              <w:rPr>
                <w:sz w:val="20"/>
                <w:szCs w:val="20"/>
                <w:color w:val="auto"/>
              </w:rPr>
            </w:pPr>
            <w:r>
              <w:rPr>
                <w:rFonts w:ascii="Times New Roman" w:cs="Times New Roman" w:eastAsia="Times New Roman" w:hAnsi="Times New Roman"/>
                <w:sz w:val="18"/>
                <w:szCs w:val="18"/>
                <w:color w:val="auto"/>
              </w:rPr>
              <w:t>Significant</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in Active Markets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auto"/>
                <w:w w:val="97"/>
              </w:rPr>
              <w:t>Other</w:t>
            </w:r>
          </w:p>
        </w:tc>
        <w:tc>
          <w:tcPr>
            <w:tcW w:w="13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14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w w:val="96"/>
              </w:rPr>
              <w:t>Fair Value</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for Identical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13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Unobservable</w:t>
            </w: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Assets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7"/>
              </w:rPr>
              <w:t>Inputs</w:t>
            </w:r>
          </w:p>
        </w:tc>
        <w:tc>
          <w:tcPr>
            <w:tcW w:w="13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43"/>
        </w:trPr>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36"/>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tcPr>
          <w:p>
            <w:pPr>
              <w:spacing w:after="0"/>
              <w:rPr>
                <w:sz w:val="20"/>
                <w:szCs w:val="20"/>
                <w:color w:val="auto"/>
              </w:rPr>
            </w:pPr>
          </w:p>
        </w:tc>
        <w:tc>
          <w:tcPr>
            <w:tcW w:w="14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385"/>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tcPr>
          <w:p>
            <w:pPr>
              <w:spacing w:after="0"/>
              <w:rPr>
                <w:sz w:val="24"/>
                <w:szCs w:val="24"/>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-453390</wp:posOffset>
            </wp:positionV>
            <wp:extent cx="7106285"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720"/>
            <w:col w:w="6440"/>
          </w:cols>
          <w:pgMar w:left="320" w:top="1012" w:right="3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Non-recurring Measurements Using Significant Unobservable Inputs (Level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additional quantitative information about assets measured at fair value on a non-recurring basis and for which the Company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has utilized Level 3 inputs to determine fair value:</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6"/>
              </w:rPr>
              <w:t>Fair Value</w:t>
            </w:r>
          </w:p>
        </w:tc>
        <w:tc>
          <w:tcPr>
            <w:tcW w:w="7560" w:type="dxa"/>
            <w:vAlign w:val="bottom"/>
            <w:tcBorders>
              <w:bottom w:val="single" w:sz="8" w:color="auto"/>
            </w:tcBorders>
            <w:gridSpan w:val="6"/>
          </w:tcPr>
          <w:p>
            <w:pPr>
              <w:ind w:left="1420"/>
              <w:spacing w:after="0"/>
              <w:rPr>
                <w:sz w:val="20"/>
                <w:szCs w:val="20"/>
                <w:color w:val="auto"/>
              </w:rPr>
            </w:pPr>
            <w:r>
              <w:rPr>
                <w:rFonts w:ascii="Times New Roman" w:cs="Times New Roman" w:eastAsia="Times New Roman" w:hAnsi="Times New Roman"/>
                <w:sz w:val="18"/>
                <w:szCs w:val="18"/>
                <w:color w:val="auto"/>
              </w:rPr>
              <w:t>Quantitative Information about Level 3 Fair Value Measurements</w:t>
            </w:r>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2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3"/>
          </w:tcPr>
          <w:p>
            <w:pPr>
              <w:jc w:val="center"/>
              <w:ind w:right="280"/>
              <w:spacing w:after="0" w:line="181" w:lineRule="exact"/>
              <w:rPr>
                <w:sz w:val="20"/>
                <w:szCs w:val="20"/>
                <w:color w:val="auto"/>
              </w:rPr>
            </w:pPr>
            <w:r>
              <w:rPr>
                <w:rFonts w:ascii="Times New Roman" w:cs="Times New Roman" w:eastAsia="Times New Roman" w:hAnsi="Times New Roman"/>
                <w:sz w:val="18"/>
                <w:szCs w:val="18"/>
                <w:color w:val="auto"/>
                <w:w w:val="99"/>
              </w:rPr>
              <w:t>September 30,</w:t>
            </w:r>
          </w:p>
        </w:tc>
        <w:tc>
          <w:tcPr>
            <w:tcW w:w="26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color w:val="auto"/>
              </w:rPr>
              <w:t>Valuation Technique</w:t>
            </w:r>
          </w:p>
        </w:tc>
        <w:tc>
          <w:tcPr>
            <w:tcW w:w="2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Unobservable Input</w:t>
            </w:r>
          </w:p>
        </w:tc>
        <w:tc>
          <w:tcPr>
            <w:tcW w:w="2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5"/>
                <w:szCs w:val="15"/>
                <w:color w:val="auto"/>
              </w:rPr>
            </w:pPr>
          </w:p>
        </w:tc>
        <w:tc>
          <w:tcPr>
            <w:tcW w:w="1280" w:type="dxa"/>
            <w:vAlign w:val="bottom"/>
          </w:tcPr>
          <w:p>
            <w:pPr>
              <w:jc w:val="center"/>
              <w:ind w:right="70"/>
              <w:spacing w:after="0" w:line="156" w:lineRule="exact"/>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20" w:type="dxa"/>
            <w:vAlign w:val="bottom"/>
            <w:gridSpan w:val="3"/>
            <w:vMerge w:val="continue"/>
          </w:tcPr>
          <w:p>
            <w:pPr>
              <w:spacing w:after="0"/>
              <w:rPr>
                <w:sz w:val="15"/>
                <w:szCs w:val="15"/>
                <w:color w:val="auto"/>
              </w:rPr>
            </w:pPr>
          </w:p>
        </w:tc>
        <w:tc>
          <w:tcPr>
            <w:tcW w:w="2640" w:type="dxa"/>
            <w:vAlign w:val="bottom"/>
            <w:gridSpan w:val="2"/>
            <w:vMerge w:val="continue"/>
          </w:tcPr>
          <w:p>
            <w:pPr>
              <w:spacing w:after="0"/>
              <w:rPr>
                <w:sz w:val="15"/>
                <w:szCs w:val="15"/>
                <w:color w:val="auto"/>
              </w:rPr>
            </w:pPr>
          </w:p>
        </w:tc>
        <w:tc>
          <w:tcPr>
            <w:tcW w:w="23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color w:val="auto"/>
              </w:rPr>
              <w:t xml:space="preserve">(Weighted-Average) </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0" w:type="dxa"/>
            <w:vAlign w:val="bottom"/>
            <w:tcBorders>
              <w:right w:val="single" w:sz="8" w:color="CCEEFF"/>
            </w:tcBorders>
          </w:tcPr>
          <w:p>
            <w:pPr>
              <w:spacing w:after="0"/>
              <w:rPr>
                <w:sz w:val="19"/>
                <w:szCs w:val="19"/>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comparison approach</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costs</w:t>
            </w:r>
          </w:p>
        </w:tc>
        <w:tc>
          <w:tcPr>
            <w:tcW w:w="2300" w:type="dxa"/>
            <w:vAlign w:val="bottom"/>
            <w:tcBorders>
              <w:bottom w:val="single" w:sz="8" w:color="CCEEFF"/>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w w:val="99"/>
              </w:rPr>
              <w:t>20.0% - 20.0% (20.0%)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0" w:type="dxa"/>
            <w:vAlign w:val="bottom"/>
            <w:tcBorders>
              <w:right w:val="single" w:sz="8" w:color="CCEEFF"/>
            </w:tcBorders>
          </w:tcPr>
          <w:p>
            <w:pPr>
              <w:spacing w:after="0"/>
              <w:rPr>
                <w:sz w:val="17"/>
                <w:szCs w:val="17"/>
                <w:color w:val="auto"/>
              </w:rPr>
            </w:pPr>
          </w:p>
        </w:tc>
        <w:tc>
          <w:tcPr>
            <w:tcW w:w="2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Collateral-dependent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2060" w:type="dxa"/>
            <w:vAlign w:val="bottom"/>
            <w:gridSpan w:val="2"/>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impaired loans, net of</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2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approach</w:t>
            </w:r>
          </w:p>
        </w:tc>
        <w:tc>
          <w:tcPr>
            <w:tcW w:w="2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costs</w:t>
            </w:r>
          </w:p>
        </w:tc>
        <w:tc>
          <w:tcPr>
            <w:tcW w:w="2300" w:type="dxa"/>
            <w:vAlign w:val="bottom"/>
            <w:vMerge w:val="restart"/>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w w:val="99"/>
              </w:rPr>
              <w:t>10.0% - 20.0% (14.5%)</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2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ACL</w:t>
            </w:r>
          </w:p>
        </w:tc>
        <w:tc>
          <w:tcPr>
            <w:tcW w:w="1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20" w:type="dxa"/>
            <w:vAlign w:val="bottom"/>
            <w:gridSpan w:val="3"/>
            <w:vMerge w:val="continue"/>
            <w:shd w:val="clear" w:color="auto" w:fill="CCEEFF"/>
          </w:tcPr>
          <w:p>
            <w:pPr>
              <w:spacing w:after="0"/>
              <w:rPr>
                <w:sz w:val="19"/>
                <w:szCs w:val="19"/>
                <w:color w:val="auto"/>
              </w:rPr>
            </w:pPr>
          </w:p>
        </w:tc>
        <w:tc>
          <w:tcPr>
            <w:tcW w:w="2640" w:type="dxa"/>
            <w:vAlign w:val="bottom"/>
            <w:gridSpan w:val="2"/>
            <w:vMerge w:val="continue"/>
            <w:shd w:val="clear" w:color="auto" w:fill="CCEEFF"/>
          </w:tcPr>
          <w:p>
            <w:pPr>
              <w:spacing w:after="0"/>
              <w:rPr>
                <w:sz w:val="19"/>
                <w:szCs w:val="19"/>
                <w:color w:val="auto"/>
              </w:rPr>
            </w:pPr>
          </w:p>
        </w:tc>
        <w:tc>
          <w:tcPr>
            <w:tcW w:w="2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Sales comparison approach</w:t>
            </w:r>
          </w:p>
        </w:tc>
        <w:tc>
          <w:tcPr>
            <w:tcW w:w="2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costs</w:t>
            </w:r>
          </w:p>
        </w:tc>
        <w:tc>
          <w:tcPr>
            <w:tcW w:w="2300" w:type="dxa"/>
            <w:vAlign w:val="bottom"/>
            <w:tcBorders>
              <w:bottom w:val="single" w:sz="8" w:color="CCEEFF"/>
            </w:tcBorders>
          </w:tcPr>
          <w:p>
            <w:pPr>
              <w:jc w:val="right"/>
              <w:ind w:right="494"/>
              <w:spacing w:after="0"/>
              <w:rPr>
                <w:sz w:val="20"/>
                <w:szCs w:val="20"/>
                <w:color w:val="auto"/>
              </w:rPr>
            </w:pPr>
            <w:r>
              <w:rPr>
                <w:rFonts w:ascii="Times New Roman" w:cs="Times New Roman" w:eastAsia="Times New Roman" w:hAnsi="Times New Roman"/>
                <w:sz w:val="18"/>
                <w:szCs w:val="18"/>
                <w:color w:val="auto"/>
                <w:w w:val="99"/>
              </w:rPr>
              <w:t>10.0% - 20.0% (12.2%)</w:t>
            </w:r>
          </w:p>
        </w:tc>
        <w:tc>
          <w:tcPr>
            <w:tcW w:w="0" w:type="dxa"/>
            <w:vAlign w:val="bottom"/>
          </w:tcPr>
          <w:p>
            <w:pPr>
              <w:spacing w:after="0"/>
              <w:rPr>
                <w:sz w:val="1"/>
                <w:szCs w:val="1"/>
                <w:color w:val="auto"/>
              </w:rPr>
            </w:pPr>
          </w:p>
        </w:tc>
      </w:tr>
      <w:tr>
        <w:trPr>
          <w:trHeight w:val="261"/>
        </w:trPr>
        <w:tc>
          <w:tcPr>
            <w:tcW w:w="40" w:type="dxa"/>
            <w:vAlign w:val="bottom"/>
            <w:tcBorders>
              <w:right w:val="single" w:sz="8" w:color="CCEEFF"/>
            </w:tcBorders>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560" w:type="dxa"/>
            <w:vAlign w:val="bottom"/>
            <w:tcBorders>
              <w:top w:val="single" w:sz="8" w:color="CCEEFF"/>
              <w:bottom w:val="single" w:sz="8" w:color="CCEEFF"/>
            </w:tcBorders>
            <w:gridSpan w:val="6"/>
            <w:vMerge w:val="restart"/>
          </w:tcPr>
          <w:p>
            <w:pPr>
              <w:ind w:left="1420"/>
              <w:spacing w:after="0"/>
              <w:rPr>
                <w:sz w:val="20"/>
                <w:szCs w:val="20"/>
                <w:color w:val="auto"/>
              </w:rPr>
            </w:pPr>
            <w:r>
              <w:rPr>
                <w:rFonts w:ascii="Times New Roman" w:cs="Times New Roman" w:eastAsia="Times New Roman" w:hAnsi="Times New Roman"/>
                <w:sz w:val="18"/>
                <w:szCs w:val="18"/>
                <w:color w:val="auto"/>
              </w:rPr>
              <w:t>Quantitative Information about Level 3 Fair Value Measurements</w:t>
            </w:r>
          </w:p>
        </w:tc>
        <w:tc>
          <w:tcPr>
            <w:tcW w:w="0" w:type="dxa"/>
            <w:vAlign w:val="bottom"/>
          </w:tcPr>
          <w:p>
            <w:pPr>
              <w:spacing w:after="0" w:line="20" w:lineRule="exact"/>
              <w:rPr>
                <w:sz w:val="1"/>
                <w:szCs w:val="1"/>
                <w:color w:val="auto"/>
              </w:rPr>
            </w:pPr>
          </w:p>
        </w:tc>
      </w:tr>
      <w:tr>
        <w:trPr>
          <w:trHeight w:val="608"/>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Fair Value</w:t>
            </w:r>
          </w:p>
        </w:tc>
        <w:tc>
          <w:tcPr>
            <w:tcW w:w="2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3"/>
          </w:tcPr>
          <w:p>
            <w:pPr>
              <w:jc w:val="center"/>
              <w:ind w:right="280"/>
              <w:spacing w:after="0" w:line="182" w:lineRule="exact"/>
              <w:rPr>
                <w:sz w:val="20"/>
                <w:szCs w:val="20"/>
                <w:color w:val="auto"/>
              </w:rPr>
            </w:pPr>
            <w:r>
              <w:rPr>
                <w:rFonts w:ascii="Times New Roman" w:cs="Times New Roman" w:eastAsia="Times New Roman" w:hAnsi="Times New Roman"/>
                <w:sz w:val="18"/>
                <w:szCs w:val="18"/>
                <w:color w:val="auto"/>
                <w:w w:val="98"/>
              </w:rPr>
              <w:t>December 31,</w:t>
            </w: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Range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6"/>
                <w:szCs w:val="16"/>
                <w:color w:val="auto"/>
              </w:rPr>
            </w:pPr>
          </w:p>
        </w:tc>
        <w:tc>
          <w:tcPr>
            <w:tcW w:w="128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20" w:type="dxa"/>
            <w:vAlign w:val="bottom"/>
            <w:gridSpan w:val="3"/>
          </w:tcPr>
          <w:p>
            <w:pPr>
              <w:ind w:left="500"/>
              <w:spacing w:after="0" w:line="169" w:lineRule="exact"/>
              <w:rPr>
                <w:sz w:val="20"/>
                <w:szCs w:val="20"/>
                <w:color w:val="auto"/>
              </w:rPr>
            </w:pPr>
            <w:r>
              <w:rPr>
                <w:rFonts w:ascii="Times New Roman" w:cs="Times New Roman" w:eastAsia="Times New Roman" w:hAnsi="Times New Roman"/>
                <w:sz w:val="18"/>
                <w:szCs w:val="18"/>
                <w:color w:val="auto"/>
              </w:rPr>
              <w:t>Valuation Technique</w:t>
            </w:r>
          </w:p>
        </w:tc>
        <w:tc>
          <w:tcPr>
            <w:tcW w:w="2640" w:type="dxa"/>
            <w:vAlign w:val="bottom"/>
            <w:gridSpan w:val="2"/>
          </w:tcPr>
          <w:p>
            <w:pPr>
              <w:ind w:left="540"/>
              <w:spacing w:after="0" w:line="169" w:lineRule="exact"/>
              <w:rPr>
                <w:sz w:val="20"/>
                <w:szCs w:val="20"/>
                <w:color w:val="auto"/>
              </w:rPr>
            </w:pPr>
            <w:r>
              <w:rPr>
                <w:rFonts w:ascii="Times New Roman" w:cs="Times New Roman" w:eastAsia="Times New Roman" w:hAnsi="Times New Roman"/>
                <w:sz w:val="18"/>
                <w:szCs w:val="18"/>
                <w:color w:val="auto"/>
              </w:rPr>
              <w:t>Unobservable Input</w:t>
            </w:r>
          </w:p>
        </w:tc>
        <w:tc>
          <w:tcPr>
            <w:tcW w:w="2300" w:type="dxa"/>
            <w:vAlign w:val="bottom"/>
          </w:tcPr>
          <w:p>
            <w:pPr>
              <w:jc w:val="center"/>
              <w:spacing w:after="0" w:line="169" w:lineRule="exact"/>
              <w:rPr>
                <w:sz w:val="20"/>
                <w:szCs w:val="20"/>
                <w:color w:val="auto"/>
              </w:rPr>
            </w:pPr>
            <w:r>
              <w:rPr>
                <w:rFonts w:ascii="Times New Roman" w:cs="Times New Roman" w:eastAsia="Times New Roman" w:hAnsi="Times New Roman"/>
                <w:sz w:val="15"/>
                <w:szCs w:val="15"/>
                <w:color w:val="auto"/>
              </w:rPr>
              <w:t xml:space="preserve">(Weighted-Average) </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CCEEFF"/>
            </w:tcBorders>
          </w:tcPr>
          <w:p>
            <w:pPr>
              <w:spacing w:after="0"/>
              <w:rPr>
                <w:sz w:val="14"/>
                <w:szCs w:val="14"/>
                <w:color w:val="auto"/>
              </w:rPr>
            </w:pPr>
          </w:p>
        </w:tc>
        <w:tc>
          <w:tcPr>
            <w:tcW w:w="20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Collateral-dependent</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right w:val="single" w:sz="8" w:color="CCEEFF"/>
            </w:tcBorders>
          </w:tcPr>
          <w:p>
            <w:pPr>
              <w:spacing w:after="0"/>
              <w:rPr>
                <w:sz w:val="16"/>
                <w:szCs w:val="16"/>
                <w:color w:val="auto"/>
              </w:rPr>
            </w:pPr>
          </w:p>
        </w:tc>
        <w:tc>
          <w:tcPr>
            <w:tcW w:w="2060" w:type="dxa"/>
            <w:vAlign w:val="bottom"/>
            <w:gridSpan w:val="2"/>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impaired loans, net of</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CCEEFF"/>
            </w:tcBorders>
          </w:tcPr>
          <w:p>
            <w:pPr>
              <w:spacing w:after="0"/>
              <w:rPr>
                <w:sz w:val="20"/>
                <w:szCs w:val="20"/>
                <w:color w:val="auto"/>
              </w:rPr>
            </w:pPr>
          </w:p>
        </w:tc>
        <w:tc>
          <w:tcPr>
            <w:tcW w:w="2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approach</w:t>
            </w: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costs</w:t>
            </w:r>
          </w:p>
        </w:tc>
        <w:tc>
          <w:tcPr>
            <w:tcW w:w="23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w w:val="99"/>
              </w:rPr>
              <w:t>10.0% - 20.0% (10.3%)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Sales comparison approach</w:t>
            </w:r>
          </w:p>
        </w:tc>
        <w:tc>
          <w:tcPr>
            <w:tcW w:w="2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costs</w:t>
            </w:r>
          </w:p>
        </w:tc>
        <w:tc>
          <w:tcPr>
            <w:tcW w:w="2300" w:type="dxa"/>
            <w:vAlign w:val="bottom"/>
            <w:tcBorders>
              <w:bottom w:val="single" w:sz="8" w:color="CCEEFF"/>
            </w:tcBorders>
          </w:tcPr>
          <w:p>
            <w:pPr>
              <w:jc w:val="right"/>
              <w:ind w:right="494"/>
              <w:spacing w:after="0"/>
              <w:rPr>
                <w:sz w:val="20"/>
                <w:szCs w:val="20"/>
                <w:color w:val="auto"/>
              </w:rPr>
            </w:pPr>
            <w:r>
              <w:rPr>
                <w:rFonts w:ascii="Times New Roman" w:cs="Times New Roman" w:eastAsia="Times New Roman" w:hAnsi="Times New Roman"/>
                <w:sz w:val="18"/>
                <w:szCs w:val="18"/>
                <w:color w:val="auto"/>
                <w:w w:val="99"/>
              </w:rPr>
              <w:t>10.0% - 20.0% (10.1%)</w:t>
            </w:r>
          </w:p>
        </w:tc>
        <w:tc>
          <w:tcPr>
            <w:tcW w:w="0" w:type="dxa"/>
            <w:vAlign w:val="bottom"/>
          </w:tcPr>
          <w:p>
            <w:pPr>
              <w:spacing w:after="0"/>
              <w:rPr>
                <w:sz w:val="1"/>
                <w:szCs w:val="1"/>
                <w:color w:val="auto"/>
              </w:rPr>
            </w:pPr>
          </w:p>
        </w:tc>
      </w:tr>
      <w:tr>
        <w:trPr>
          <w:trHeight w:val="261"/>
        </w:trPr>
        <w:tc>
          <w:tcPr>
            <w:tcW w:w="40" w:type="dxa"/>
            <w:vAlign w:val="bottom"/>
            <w:tcBorders>
              <w:right w:val="single" w:sz="8" w:color="CCEEFF"/>
            </w:tcBorders>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100" w:hanging="92"/>
        <w:spacing w:after="0" w:line="203" w:lineRule="auto"/>
        <w:tabs>
          <w:tab w:leader="none" w:pos="1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range for selling cost inputs represents reductions to the fair value of the assets.</w:t>
      </w:r>
    </w:p>
    <w:p>
      <w:pPr>
        <w:sectPr>
          <w:pgSz w:w="11900" w:h="16838" w:orient="portrait"/>
          <w:cols w:equalWidth="0" w:num="1">
            <w:col w:w="11240"/>
          </w:cols>
          <w:pgMar w:left="320" w:top="10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tables present the carrying amounts, estimated fair values and the level within the fair value hierarchy of the Company’s financial instruments not carried at fair value. Receivables and payables due in one year or less, equity securities without readily determinable fair values and deposits with no defined or contractual maturities are excluded from the table. There have been no significant changes in the valuation techniques during the period ended September 30, 2026.</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Fair value is estimated at book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securities, held-to-maturity</w:t>
      </w:r>
      <w:r>
        <w:rPr>
          <w:rFonts w:ascii="Times New Roman" w:cs="Times New Roman" w:eastAsia="Times New Roman" w:hAnsi="Times New Roman"/>
          <w:sz w:val="18"/>
          <w:szCs w:val="18"/>
          <w:color w:val="auto"/>
        </w:rPr>
        <w:t>. Fair value for HTM debt securities is estimated in the same manner as AFS debt securities, which is described above.</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Loans receivable, net of ACL</w:t>
      </w:r>
      <w:r>
        <w:rPr>
          <w:rFonts w:ascii="Times New Roman" w:cs="Times New Roman" w:eastAsia="Times New Roman" w:hAnsi="Times New Roman"/>
          <w:sz w:val="18"/>
          <w:szCs w:val="18"/>
          <w:color w:val="auto"/>
        </w:rPr>
        <w:t>. The loans were fair valued on an individual basis, with consideration given to the loans' underlying characteristics,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types, remaining terms and balance, interest rates, past delinquencies, current market rates, etc. The model utilizes a discounted cash flow approach to estimate the fair value of the loans using various assumptions such as prepayment speeds, projected default probabilities, losses given defaults, etc. The discounted cash flow approach models the credit losses directly in the projected cash flows. The model applies various assumptions regarding credit, interest, and prepayment risks for the loans based on loan types, payment types and fixed or variable classifications.</w:t>
      </w:r>
    </w:p>
    <w:p>
      <w:pPr>
        <w:spacing w:after="0" w:line="2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Term deposits</w:t>
      </w:r>
      <w:r>
        <w:rPr>
          <w:rFonts w:ascii="Times New Roman" w:cs="Times New Roman" w:eastAsia="Times New Roman" w:hAnsi="Times New Roman"/>
          <w:sz w:val="18"/>
          <w:szCs w:val="18"/>
          <w:color w:val="auto"/>
        </w:rPr>
        <w:t>. Fair value of term deposits is estimated by discounting the future cash flows using rates of similar deposits with similar maturities.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rates used were obtained from an independent third party based on current rates offered by the Company’s regional competitors.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FHLB advances. </w:t>
      </w:r>
      <w:r>
        <w:rPr>
          <w:rFonts w:ascii="Times New Roman" w:cs="Times New Roman" w:eastAsia="Times New Roman" w:hAnsi="Times New Roman"/>
          <w:sz w:val="18"/>
          <w:szCs w:val="18"/>
          <w:color w:val="auto"/>
        </w:rPr>
        <w:t>Fair value of advances is estimated based on borrowing rates currently available to the Company for advances with similar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Repurchase agreements and other borrowed funds</w:t>
      </w:r>
      <w:r>
        <w:rPr>
          <w:rFonts w:ascii="Times New Roman" w:cs="Times New Roman" w:eastAsia="Times New Roman" w:hAnsi="Times New Roman"/>
          <w:sz w:val="18"/>
          <w:szCs w:val="18"/>
          <w:color w:val="auto"/>
        </w:rPr>
        <w:t>. Fair value of term repurchase agreements and other term borrowings is estimated based on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rates and borrowing rates currently available to the Company for repurchases and borrowings with similar terms and maturities. The estimated fair value for overnight repurchase agreements and other borrowings is book value.</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Subordinated debentures</w:t>
      </w:r>
      <w:r>
        <w:rPr>
          <w:rFonts w:ascii="Times New Roman" w:cs="Times New Roman" w:eastAsia="Times New Roman" w:hAnsi="Times New Roman"/>
          <w:sz w:val="18"/>
          <w:szCs w:val="18"/>
          <w:color w:val="auto"/>
        </w:rPr>
        <w:t>. Fair value of the subordinated debt is estimated by discounting the estimated future cash flows using current estimated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obtained from an independent third party.</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Off-balance sheet financial instrument</w:t>
      </w:r>
      <w:r>
        <w:rPr>
          <w:rFonts w:ascii="Times New Roman" w:cs="Times New Roman" w:eastAsia="Times New Roman" w:hAnsi="Times New Roman"/>
          <w:sz w:val="18"/>
          <w:szCs w:val="18"/>
          <w:color w:val="auto"/>
        </w:rPr>
        <w:t>s. Unused lines of credit and letters of credit represent the principal categories of off-balance sheet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The fair value of commitments is based on fees currently charged to enter into similar agreements, taking into account the remaining terms of the agreements and the counterparties’ credit standing. The fair value of unused lines of credit and letters of credit is not material; therefore, such commitments are not included in the following tables.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9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8"/>
              </w:rPr>
              <w:t>Fair Value Measurements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rPr>
              <w:t>At the End of the Reporting Period Using</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rPr>
              <w:t>Quoted Prices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center"/>
              <w:ind w:right="280"/>
              <w:spacing w:after="0" w:line="187" w:lineRule="exact"/>
              <w:rPr>
                <w:sz w:val="20"/>
                <w:szCs w:val="20"/>
                <w:color w:val="auto"/>
              </w:rPr>
            </w:pPr>
            <w:r>
              <w:rPr>
                <w:rFonts w:ascii="Times New Roman" w:cs="Times New Roman" w:eastAsia="Times New Roman" w:hAnsi="Times New Roman"/>
                <w:sz w:val="18"/>
                <w:szCs w:val="18"/>
                <w:color w:val="auto"/>
              </w:rPr>
              <w:t>Significant</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 Active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auto"/>
                <w:w w:val="97"/>
              </w:rPr>
              <w:t>Other</w:t>
            </w:r>
          </w:p>
        </w:tc>
        <w:tc>
          <w:tcPr>
            <w:tcW w:w="13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Markets for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13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Unobservable</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Carrying Amount</w:t>
            </w:r>
          </w:p>
        </w:tc>
        <w:tc>
          <w:tcPr>
            <w:tcW w:w="1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Identical Assets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auto"/>
                <w:w w:val="97"/>
              </w:rPr>
              <w:t>Inputs</w:t>
            </w:r>
          </w:p>
        </w:tc>
        <w:tc>
          <w:tcPr>
            <w:tcW w:w="13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175"/>
        </w:trPr>
        <w:tc>
          <w:tcPr>
            <w:tcW w:w="47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(Dollars in thousands)</w:t>
            </w:r>
          </w:p>
        </w:tc>
        <w:tc>
          <w:tcPr>
            <w:tcW w:w="1640" w:type="dxa"/>
            <w:vAlign w:val="bottom"/>
            <w:gridSpan w:val="3"/>
          </w:tcPr>
          <w:p>
            <w:pPr>
              <w:jc w:val="center"/>
              <w:ind w:right="120"/>
              <w:spacing w:after="0" w:line="156" w:lineRule="exact"/>
              <w:rPr>
                <w:sz w:val="20"/>
                <w:szCs w:val="20"/>
                <w:color w:val="auto"/>
              </w:rPr>
            </w:pPr>
            <w:r>
              <w:rPr>
                <w:rFonts w:ascii="Times New Roman" w:cs="Times New Roman" w:eastAsia="Times New Roman" w:hAnsi="Times New Roman"/>
                <w:sz w:val="18"/>
                <w:szCs w:val="18"/>
                <w:color w:val="auto"/>
                <w:w w:val="99"/>
              </w:rPr>
              <w:t>September 30, 2026</w:t>
            </w:r>
          </w:p>
        </w:tc>
        <w:tc>
          <w:tcPr>
            <w:tcW w:w="146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(Level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260"/>
              <w:spacing w:after="0" w:line="156" w:lineRule="exact"/>
              <w:rPr>
                <w:sz w:val="20"/>
                <w:szCs w:val="20"/>
                <w:color w:val="auto"/>
              </w:rPr>
            </w:pPr>
            <w:r>
              <w:rPr>
                <w:rFonts w:ascii="Times New Roman" w:cs="Times New Roman" w:eastAsia="Times New Roman" w:hAnsi="Times New Roman"/>
                <w:sz w:val="18"/>
                <w:szCs w:val="18"/>
                <w:color w:val="auto"/>
                <w:w w:val="99"/>
              </w:rPr>
              <w:t>(Level 2)</w:t>
            </w:r>
          </w:p>
        </w:tc>
        <w:tc>
          <w:tcPr>
            <w:tcW w:w="1360" w:type="dxa"/>
            <w:vAlign w:val="bottom"/>
          </w:tcPr>
          <w:p>
            <w:pPr>
              <w:jc w:val="center"/>
              <w:ind w:right="90"/>
              <w:spacing w:after="0" w:line="156" w:lineRule="exact"/>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34"/>
        </w:trPr>
        <w:tc>
          <w:tcPr>
            <w:tcW w:w="1280" w:type="dxa"/>
            <w:vAlign w:val="bottom"/>
            <w:tcBorders>
              <w:top w:val="single" w:sz="8" w:color="auto"/>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1,506,781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1,506,781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securities, held-to-maturity</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2,817,933</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2,503,871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Loans receivable, net of ACL</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21,359,862</w:t>
            </w:r>
          </w:p>
        </w:tc>
        <w:tc>
          <w:tcPr>
            <w:tcW w:w="12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21,046,593</w:t>
            </w:r>
          </w:p>
        </w:tc>
        <w:tc>
          <w:tcPr>
            <w:tcW w:w="0" w:type="dxa"/>
            <w:vAlign w:val="bottom"/>
          </w:tcPr>
          <w:p>
            <w:pPr>
              <w:spacing w:after="0"/>
              <w:rPr>
                <w:sz w:val="1"/>
                <w:szCs w:val="1"/>
                <w:color w:val="auto"/>
              </w:rPr>
            </w:pPr>
          </w:p>
        </w:tc>
      </w:tr>
      <w:tr>
        <w:trPr>
          <w:trHeight w:val="257"/>
        </w:trPr>
        <w:tc>
          <w:tcPr>
            <w:tcW w:w="47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financial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25,684,576</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1,506,781</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2,503,871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21,046,593</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Term deposits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3,743,285</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3,774,102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76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rPr>
              <w:t>Repurchase agreements and</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borrowed funds</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2,037,228</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2,037,228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Subordinated debentures</w:t>
            </w: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174,113</w:t>
            </w:r>
          </w:p>
        </w:tc>
        <w:tc>
          <w:tcPr>
            <w:tcW w:w="120" w:type="dxa"/>
            <w:vAlign w:val="bottom"/>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171,083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7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5,954,626</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5,982,413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12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8"/>
              </w:rPr>
              <w:t>Fair Value Measurements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rPr>
              <w:t>At the End of the Reporting Period Using</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rPr>
              <w:t>Quoted Prices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center"/>
              <w:ind w:right="280"/>
              <w:spacing w:after="0" w:line="187" w:lineRule="exact"/>
              <w:rPr>
                <w:sz w:val="20"/>
                <w:szCs w:val="20"/>
                <w:color w:val="auto"/>
              </w:rPr>
            </w:pPr>
            <w:r>
              <w:rPr>
                <w:rFonts w:ascii="Times New Roman" w:cs="Times New Roman" w:eastAsia="Times New Roman" w:hAnsi="Times New Roman"/>
                <w:sz w:val="18"/>
                <w:szCs w:val="18"/>
                <w:color w:val="auto"/>
              </w:rPr>
              <w:t>Significant</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 Active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auto"/>
                <w:w w:val="97"/>
              </w:rPr>
              <w:t>Other</w:t>
            </w:r>
          </w:p>
        </w:tc>
        <w:tc>
          <w:tcPr>
            <w:tcW w:w="13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Carrying Amount</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Markets for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13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Unobservable</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Identical Assets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7"/>
              </w:rPr>
              <w:t>Inputs</w:t>
            </w:r>
          </w:p>
        </w:tc>
        <w:tc>
          <w:tcPr>
            <w:tcW w:w="13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189"/>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640" w:type="dxa"/>
            <w:vAlign w:val="bottom"/>
            <w:gridSpan w:val="3"/>
          </w:tcPr>
          <w:p>
            <w:pPr>
              <w:jc w:val="center"/>
              <w:ind w:right="140"/>
              <w:spacing w:after="0" w:line="169" w:lineRule="exact"/>
              <w:rPr>
                <w:sz w:val="20"/>
                <w:szCs w:val="20"/>
                <w:color w:val="auto"/>
              </w:rPr>
            </w:pPr>
            <w:r>
              <w:rPr>
                <w:rFonts w:ascii="Times New Roman" w:cs="Times New Roman" w:eastAsia="Times New Roman" w:hAnsi="Times New Roman"/>
                <w:sz w:val="18"/>
                <w:szCs w:val="18"/>
                <w:color w:val="auto"/>
              </w:rPr>
              <w:t>December 31, 2025</w:t>
            </w:r>
          </w:p>
        </w:tc>
        <w:tc>
          <w:tcPr>
            <w:tcW w:w="14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w w:val="99"/>
              </w:rPr>
              <w:t>(Level 2)</w:t>
            </w:r>
          </w:p>
        </w:tc>
        <w:tc>
          <w:tcPr>
            <w:tcW w:w="136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34"/>
        </w:trPr>
        <w:tc>
          <w:tcPr>
            <w:tcW w:w="1280" w:type="dxa"/>
            <w:vAlign w:val="bottom"/>
            <w:tcBorders>
              <w:top w:val="single" w:sz="8" w:color="auto"/>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1,235,261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securities, held-to-maturity</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3,110,216</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2,880,116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Loans receivable, net of ACL</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20,672,477</w:t>
            </w:r>
          </w:p>
        </w:tc>
        <w:tc>
          <w:tcPr>
            <w:tcW w:w="12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20,779,943</w:t>
            </w:r>
          </w:p>
        </w:tc>
        <w:tc>
          <w:tcPr>
            <w:tcW w:w="0" w:type="dxa"/>
            <w:vAlign w:val="bottom"/>
          </w:tcPr>
          <w:p>
            <w:pPr>
              <w:spacing w:after="0"/>
              <w:rPr>
                <w:sz w:val="1"/>
                <w:szCs w:val="1"/>
                <w:color w:val="auto"/>
              </w:rPr>
            </w:pPr>
          </w:p>
        </w:tc>
      </w:tr>
      <w:tr>
        <w:trPr>
          <w:trHeight w:val="257"/>
        </w:trPr>
        <w:tc>
          <w:tcPr>
            <w:tcW w:w="47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financial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25,017,954</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1,235,261</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2,880,116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20,779,943</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Term deposits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3,928,550</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3,967,087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FHLB advances</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440,175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76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Repurchase agreements and</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borrowed funds</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2,135,586</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2,135,586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Subordinated debentures</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187,492</w:t>
            </w:r>
          </w:p>
        </w:tc>
        <w:tc>
          <w:tcPr>
            <w:tcW w:w="12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175,069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6,691,628</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6,717,917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40"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24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is intended to provide a more comprehensive review of the Company’s operating results and financial condition than can be obtained from reading the Consolidated Financial Statements alone. The discussion should be read in conjunction with the Consolidated Financial Statements and the notes thereto included in “Part I. Item 1.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Form 10-Q may contain forward-looking statements within the meaning of the Private Securities Litigation Reform Act of 1995. These forward-looking statements include, but are not limited to, statements about the Company’s plans, objectives, expectations and intentions that are not historical facts, and other statements identified by words such as “expects,” “anticipates,” “will” “intends,” “plans,” “believes,” “should,” “projects,” “seeks,” “estimates” or other comparable words or phrases of a future or forward-looking nature. These forward-looking statements are based on current beliefs and expectations of management and are inherently subject to significant business, economic and competitive uncertainties and contingencies, many of which are beyond the Company’s control. In addition, these forward-looking statements are based on assumptions that are subject to change. The following factors, among others, including additional factors identified in the sections titled “Risk Factors,” “Business” and “Management’s Discussion and Analysis of Financial Condition and Results of Operations,” as applicable, in this report and in the Company’s 2025 Annual Report on Form 10-K, could cause actual results to differ materially from the anticipated results (express or implied) or other expectations in the forward-looking statements:</w:t>
      </w:r>
    </w:p>
    <w:p>
      <w:pPr>
        <w:spacing w:after="0" w:line="20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lending and potential adverse changes in the credit quality of the Company’s loan portfolio;</w:t>
      </w:r>
    </w:p>
    <w:p>
      <w:pPr>
        <w:spacing w:after="0" w:line="27" w:lineRule="exact"/>
        <w:rPr>
          <w:rFonts w:ascii="Times New Roman" w:cs="Times New Roman" w:eastAsia="Times New Roman" w:hAnsi="Times New Roman"/>
          <w:sz w:val="18"/>
          <w:szCs w:val="18"/>
          <w:color w:val="auto"/>
        </w:rPr>
      </w:pPr>
    </w:p>
    <w:p>
      <w:pPr>
        <w:ind w:left="660" w:hanging="328"/>
        <w:spacing w:after="0" w:line="249" w:lineRule="auto"/>
        <w:tabs>
          <w:tab w:leader="none" w:pos="65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monetary and fiscal policies, including interest rate policies of the Federal Reserve Board, which could adversely affect the Company’s net interest income and margin, the fair value of its financial instruments, profitability, and stockholders’ equity;</w:t>
      </w:r>
    </w:p>
    <w:p>
      <w:pPr>
        <w:spacing w:after="0" w:line="1" w:lineRule="exact"/>
        <w:rPr>
          <w:rFonts w:ascii="Arial" w:cs="Arial" w:eastAsia="Arial" w:hAnsi="Arial"/>
          <w:sz w:val="18"/>
          <w:szCs w:val="18"/>
          <w:color w:val="auto"/>
        </w:rPr>
      </w:pPr>
    </w:p>
    <w:p>
      <w:pPr>
        <w:jc w:val="both"/>
        <w:ind w:left="660" w:hanging="328"/>
        <w:spacing w:after="0" w:line="245" w:lineRule="auto"/>
        <w:tabs>
          <w:tab w:leader="none" w:pos="65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legislative or regulatory changes, including the possibility of increases in FDIC insurance rates and assessments, changes in the review and regulation of bank mergers, or increases or changes in banking and consumer protection regulations, that may adversely affect the Company’s business and strategies;</w:t>
      </w:r>
    </w:p>
    <w:p>
      <w:pPr>
        <w:spacing w:after="0" w:line="1" w:lineRule="exact"/>
        <w:rPr>
          <w:rFonts w:ascii="Arial" w:cs="Arial" w:eastAsia="Arial" w:hAnsi="Arial"/>
          <w:sz w:val="18"/>
          <w:szCs w:val="18"/>
          <w:color w:val="auto"/>
        </w:rPr>
      </w:pPr>
    </w:p>
    <w:p>
      <w:pPr>
        <w:ind w:left="660" w:right="20" w:hanging="328"/>
        <w:spacing w:after="0" w:line="248"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overall economic conditions, including the impact on the economy of an uncertain interest rate environment, inflationary pressures, recently passed legislation and the potential for significant additional changes in economic and trade policies in the current administration;</w:t>
      </w:r>
    </w:p>
    <w:p>
      <w:pPr>
        <w:spacing w:after="0" w:line="1" w:lineRule="exact"/>
        <w:rPr>
          <w:rFonts w:ascii="Times New Roman" w:cs="Times New Roman" w:eastAsia="Times New Roman" w:hAnsi="Times New Roman"/>
          <w:sz w:val="17"/>
          <w:szCs w:val="17"/>
          <w:color w:val="auto"/>
        </w:rPr>
      </w:pPr>
    </w:p>
    <w:p>
      <w:pPr>
        <w:jc w:val="both"/>
        <w:ind w:left="660" w:hanging="328"/>
        <w:spacing w:after="0" w:line="23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to the Company’s business and the business of the Company’s customers arising from current or future tariffs or other trade restrictions, labor or supply chain issues, change in labor force, or geopolitical instability, including the wars in Iran and Ukraine, further conflicts in the Middle East, and potential for future conflicts or disruptions in other parts of the world;</w:t>
      </w:r>
    </w:p>
    <w:p>
      <w:pPr>
        <w:spacing w:after="0" w:line="2"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Company’s ability to negotiate, complete, and successfully integrate acquisitions;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the goodwill recorded by the Company in connection with acquisitions, which may have an adverse impact on earnings and capital;</w:t>
      </w:r>
    </w:p>
    <w:p>
      <w:pPr>
        <w:spacing w:after="0" w:line="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demand for banking products and services, whether as a result of changes in customer behavior, economic conditions, banking environment, or competition;</w:t>
      </w:r>
    </w:p>
    <w:p>
      <w:pPr>
        <w:ind w:left="660" w:right="20" w:hanging="328"/>
        <w:spacing w:after="0" w:line="24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reputation of banks and the financial services industry, which could adversely affect the Company's ability to obtain and maintain customers;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 including as may result from new market entrants, additional competition from internet-based financial institutions operating nationally, or further consolidation in the financial services industry, resulting in increased competition, including the creation of larger competitors with greater financial resources;</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presented by public stock market volatility, which could adversely affect the market price of the Company’s common stock and the ability to raise additional capital or grow through acquisitions;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rapidly evolving artificial intelligence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dependence on the Chief Executive Officer, the senior management team and the Presidents of Glacier Bank’s divisions;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failure, potential interruption or breach in security of the Company’s systems or changes in technology which could expose the Company to cybersecurity risks, fraud, system failures, or direct liabilities;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including droughts, fires, floods, earthquakes, pandemics, and other unexpected events;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managing risks involved in any of the foregoing;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any reputational damage to the Company resulting from any of the foregoing.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Forward looking statements speak only as of the date of this Form 10-Q. The Company does not undertake any obligation to publicly correct or update any forward-looking statement if it later becomes aware that actual results are likely to differ materially from those expressed in such forward-looking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Non-GAAP Financial Measures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financial measures and ratios the Company presents are supplemental measures that are not required by, or are not presented in accordance with, U.S. generally accepted accounting principles (GAAP). The Company refers to these financial measures and ratios as “non-GAAP financial measures.” A reconciliation of non-GAAP financial measures to the comparable GAAP financial measures is provided in the tables within this Form 10Q. The Company considers the use of select non-GAAP financial measures and ratios to be useful for financial and operational decision making and in evaluating period-to-period comparisons. The Company believes that these non-GAAP financial measures provide meaningful supplemental information regarding the Company’s performance by excluding certain income, expense, or intangible items that the Company believes are not indicative of its primary business operating results.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non-GAAP financial measures should not be considered a substitute for financial information presented in accordance with GAAP and investors should not rely on non-GAAP financial measures alone as measures of our performance. The non-GAAP financial measures presented may differ from non-GAAP financial measures used by the Company’s peers or other companies. The Company compensates for these differences by providing the equivalent GAAP measures whenever the Company presents the non-GAAP financial measures and by including a reconciliation of the impact of the components adjusted for in the non-GAAP financial measure so that both measures and the individual components may be considered when analyzing our performance.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 FINANCIAL CONDITION AND RESULTS OF OPERATIONS</w:t>
      </w:r>
    </w:p>
    <w:p>
      <w:pPr>
        <w:sectPr>
          <w:pgSz w:w="11900" w:h="16838" w:orient="portrait"/>
          <w:cols w:equalWidth="0" w:num="1">
            <w:col w:w="11240"/>
          </w:cols>
          <w:pgMar w:left="320" w:top="1251"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400" w:lineRule="exact"/>
        <w:rPr>
          <w:sz w:val="20"/>
          <w:szCs w:val="20"/>
          <w:color w:val="auto"/>
        </w:rPr>
      </w:pPr>
    </w:p>
    <w:p>
      <w:pPr>
        <w:ind w:left="100" w:right="360" w:hanging="80"/>
        <w:spacing w:after="0" w:line="261" w:lineRule="auto"/>
        <w:rPr>
          <w:sz w:val="20"/>
          <w:szCs w:val="20"/>
          <w:color w:val="auto"/>
        </w:rPr>
      </w:pPr>
      <w:r>
        <w:rPr>
          <w:rFonts w:ascii="Times New Roman" w:cs="Times New Roman" w:eastAsia="Times New Roman" w:hAnsi="Times New Roman"/>
          <w:sz w:val="14"/>
          <w:szCs w:val="14"/>
          <w:u w:val="single" w:color="auto"/>
          <w:color w:val="auto"/>
        </w:rPr>
        <w:t>(Dollars in thousands, except per share and market data)</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Performance results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74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Operating diluted earnings per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740" w:type="dxa"/>
            <w:vAlign w:val="bottom"/>
          </w:tcPr>
          <w:p>
            <w:pPr>
              <w:ind w:left="220"/>
              <w:spacing w:after="0" w:line="252" w:lineRule="exact"/>
              <w:rPr>
                <w:sz w:val="20"/>
                <w:szCs w:val="20"/>
                <w:color w:val="auto"/>
              </w:rPr>
            </w:pPr>
            <w:r>
              <w:rPr>
                <w:rFonts w:ascii="Times New Roman" w:cs="Times New Roman" w:eastAsia="Times New Roman" w:hAnsi="Times New Roman"/>
                <w:sz w:val="18"/>
                <w:szCs w:val="18"/>
                <w:color w:val="auto"/>
              </w:rPr>
              <w:t xml:space="preserve">share (non-GAAP) </w:t>
            </w:r>
            <w:r>
              <w:rPr>
                <w:rFonts w:ascii="Times New Roman" w:cs="Times New Roman" w:eastAsia="Times New Roman" w:hAnsi="Times New Roman"/>
                <w:sz w:val="23"/>
                <w:szCs w:val="23"/>
                <w:color w:val="auto"/>
                <w:vertAlign w:val="superscript"/>
              </w:rPr>
              <w:t>1</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value per share</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Closing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High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Low</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Selected ratios and other data</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Number of common stock shares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Average outstanding shares - basic</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Average outstanding shares -</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Return on average assets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(annualized)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Return on average equity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(annualized)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Efficiency ratio</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Operating efficiency ratio (non-</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740" w:type="dxa"/>
            <w:vAlign w:val="bottom"/>
          </w:tcPr>
          <w:p>
            <w:pPr>
              <w:ind w:left="220"/>
              <w:spacing w:after="0" w:line="252" w:lineRule="exact"/>
              <w:rPr>
                <w:sz w:val="20"/>
                <w:szCs w:val="20"/>
                <w:color w:val="auto"/>
              </w:rPr>
            </w:pPr>
            <w:r>
              <w:rPr>
                <w:rFonts w:ascii="Times New Roman" w:cs="Times New Roman" w:eastAsia="Times New Roman" w:hAnsi="Times New Roman"/>
                <w:sz w:val="18"/>
                <w:szCs w:val="18"/>
                <w:color w:val="auto"/>
              </w:rPr>
              <w:t xml:space="preserve">GAAP)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 to deposit ratio</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Number of full time equivalent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employees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Number of locations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Number of ATMs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28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At or for the Three Months ended</w:t>
            </w: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At or for the Nine Months ended</w:t>
            </w:r>
          </w:p>
        </w:tc>
      </w:tr>
      <w:tr>
        <w:trPr>
          <w:trHeight w:val="183"/>
        </w:trPr>
        <w:tc>
          <w:tcPr>
            <w:tcW w:w="102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w w:val="96"/>
              </w:rPr>
              <w:t>Sep 30,</w:t>
            </w:r>
          </w:p>
        </w:tc>
        <w:tc>
          <w:tcPr>
            <w:tcW w:w="1420" w:type="dxa"/>
            <w:vAlign w:val="bottom"/>
            <w:gridSpan w:val="2"/>
          </w:tcPr>
          <w:p>
            <w:pPr>
              <w:ind w:left="400"/>
              <w:spacing w:after="0" w:line="182" w:lineRule="exact"/>
              <w:rPr>
                <w:sz w:val="20"/>
                <w:szCs w:val="20"/>
                <w:color w:val="auto"/>
              </w:rPr>
            </w:pPr>
            <w:r>
              <w:rPr>
                <w:rFonts w:ascii="Times New Roman" w:cs="Times New Roman" w:eastAsia="Times New Roman" w:hAnsi="Times New Roman"/>
                <w:sz w:val="18"/>
                <w:szCs w:val="18"/>
                <w:color w:val="auto"/>
              </w:rPr>
              <w:t>Jun 30,</w:t>
            </w:r>
          </w:p>
        </w:tc>
        <w:tc>
          <w:tcPr>
            <w:tcW w:w="1420" w:type="dxa"/>
            <w:vAlign w:val="bottom"/>
            <w:gridSpan w:val="2"/>
          </w:tcPr>
          <w:p>
            <w:pPr>
              <w:ind w:left="380"/>
              <w:spacing w:after="0" w:line="182" w:lineRule="exact"/>
              <w:rPr>
                <w:sz w:val="20"/>
                <w:szCs w:val="20"/>
                <w:color w:val="auto"/>
              </w:rPr>
            </w:pPr>
            <w:r>
              <w:rPr>
                <w:rFonts w:ascii="Times New Roman" w:cs="Times New Roman" w:eastAsia="Times New Roman" w:hAnsi="Times New Roman"/>
                <w:sz w:val="18"/>
                <w:szCs w:val="18"/>
                <w:color w:val="auto"/>
              </w:rPr>
              <w:t>Mar 31,</w:t>
            </w:r>
          </w:p>
        </w:tc>
        <w:tc>
          <w:tcPr>
            <w:tcW w:w="1440" w:type="dxa"/>
            <w:vAlign w:val="bottom"/>
            <w:gridSpan w:val="2"/>
          </w:tcPr>
          <w:p>
            <w:pPr>
              <w:ind w:left="400"/>
              <w:spacing w:after="0" w:line="182" w:lineRule="exact"/>
              <w:rPr>
                <w:sz w:val="20"/>
                <w:szCs w:val="20"/>
                <w:color w:val="auto"/>
              </w:rPr>
            </w:pPr>
            <w:r>
              <w:rPr>
                <w:rFonts w:ascii="Times New Roman" w:cs="Times New Roman" w:eastAsia="Times New Roman" w:hAnsi="Times New Roman"/>
                <w:sz w:val="18"/>
                <w:szCs w:val="18"/>
                <w:color w:val="auto"/>
              </w:rPr>
              <w:t>Sep 30,</w:t>
            </w:r>
          </w:p>
        </w:tc>
        <w:tc>
          <w:tcPr>
            <w:tcW w:w="1440" w:type="dxa"/>
            <w:vAlign w:val="bottom"/>
            <w:gridSpan w:val="2"/>
          </w:tcPr>
          <w:p>
            <w:pPr>
              <w:ind w:left="420"/>
              <w:spacing w:after="0" w:line="182" w:lineRule="exact"/>
              <w:rPr>
                <w:sz w:val="20"/>
                <w:szCs w:val="20"/>
                <w:color w:val="auto"/>
              </w:rPr>
            </w:pPr>
            <w:r>
              <w:rPr>
                <w:rFonts w:ascii="Times New Roman" w:cs="Times New Roman" w:eastAsia="Times New Roman" w:hAnsi="Times New Roman"/>
                <w:sz w:val="18"/>
                <w:szCs w:val="18"/>
                <w:color w:val="auto"/>
              </w:rPr>
              <w:t>Sep 30,</w:t>
            </w:r>
          </w:p>
        </w:tc>
        <w:tc>
          <w:tcPr>
            <w:tcW w:w="136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rPr>
              <w:t>Sep 30,</w:t>
            </w:r>
          </w:p>
        </w:tc>
      </w:tr>
      <w:tr>
        <w:trPr>
          <w:trHeight w:val="239"/>
        </w:trPr>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r>
      <w:tr>
        <w:trPr>
          <w:trHeight w:val="470"/>
        </w:trPr>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104,562</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97,862</w:t>
            </w:r>
          </w:p>
        </w:tc>
        <w:tc>
          <w:tcPr>
            <w:tcW w:w="10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82,144</w:t>
            </w:r>
          </w:p>
        </w:tc>
        <w:tc>
          <w:tcPr>
            <w:tcW w:w="10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67,900</w:t>
            </w:r>
          </w:p>
        </w:tc>
        <w:tc>
          <w:tcPr>
            <w:tcW w:w="8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284,568</w:t>
            </w:r>
          </w:p>
        </w:tc>
        <w:tc>
          <w:tcPr>
            <w:tcW w:w="8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175,249</w:t>
            </w:r>
          </w:p>
        </w:tc>
      </w:tr>
      <w:tr>
        <w:trPr>
          <w:trHeight w:val="243"/>
        </w:trPr>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0.80</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0.57</w:t>
            </w:r>
          </w:p>
        </w:tc>
        <w:tc>
          <w:tcPr>
            <w:tcW w:w="8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r>
      <w:tr>
        <w:trPr>
          <w:trHeight w:val="243"/>
        </w:trPr>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0.80</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0.57</w:t>
            </w:r>
          </w:p>
        </w:tc>
        <w:tc>
          <w:tcPr>
            <w:tcW w:w="8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r>
      <w:tr>
        <w:trPr>
          <w:trHeight w:val="338"/>
        </w:trPr>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0.81</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0.62</w:t>
            </w:r>
          </w:p>
        </w:tc>
        <w:tc>
          <w:tcPr>
            <w:tcW w:w="8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w:t>
            </w:r>
          </w:p>
        </w:tc>
      </w:tr>
      <w:tr>
        <w:trPr>
          <w:trHeight w:val="338"/>
        </w:trPr>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0.35</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0.99</w:t>
            </w:r>
          </w:p>
        </w:tc>
      </w:tr>
      <w:tr>
        <w:trPr>
          <w:trHeight w:val="486"/>
        </w:trPr>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43.20</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51.58</w:t>
            </w:r>
          </w:p>
        </w:tc>
        <w:tc>
          <w:tcPr>
            <w:tcW w:w="10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48.67</w:t>
            </w:r>
          </w:p>
        </w:tc>
        <w:tc>
          <w:tcPr>
            <w:tcW w:w="8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43.20</w:t>
            </w:r>
          </w:p>
        </w:tc>
        <w:tc>
          <w:tcPr>
            <w:tcW w:w="8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48.67</w:t>
            </w:r>
          </w:p>
        </w:tc>
      </w:tr>
      <w:tr>
        <w:trPr>
          <w:trHeight w:val="243"/>
        </w:trPr>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54.58</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52.16</w:t>
            </w:r>
          </w:p>
        </w:tc>
        <w:tc>
          <w:tcPr>
            <w:tcW w:w="10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53.99</w:t>
            </w:r>
          </w:p>
        </w:tc>
        <w:tc>
          <w:tcPr>
            <w:tcW w:w="10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50.54</w:t>
            </w:r>
          </w:p>
        </w:tc>
        <w:tc>
          <w:tcPr>
            <w:tcW w:w="8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54.58</w:t>
            </w:r>
          </w:p>
        </w:tc>
        <w:tc>
          <w:tcPr>
            <w:tcW w:w="8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52.81</w:t>
            </w:r>
          </w:p>
        </w:tc>
      </w:tr>
      <w:tr>
        <w:trPr>
          <w:trHeight w:val="243"/>
        </w:trPr>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43.03</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44.26</w:t>
            </w:r>
          </w:p>
        </w:tc>
        <w:tc>
          <w:tcPr>
            <w:tcW w:w="10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42.08</w:t>
            </w:r>
          </w:p>
        </w:tc>
        <w:tc>
          <w:tcPr>
            <w:tcW w:w="8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41.87</w:t>
            </w:r>
          </w:p>
        </w:tc>
        <w:tc>
          <w:tcPr>
            <w:tcW w:w="8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36.76</w:t>
            </w:r>
          </w:p>
        </w:tc>
      </w:tr>
      <w:tr>
        <w:trPr>
          <w:trHeight w:val="675"/>
        </w:trPr>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130,218,983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130,202,054</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130,124,378</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118,552,847</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130,218,983</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118,552,847</w:t>
            </w:r>
          </w:p>
        </w:tc>
      </w:tr>
      <w:tr>
        <w:trPr>
          <w:trHeight w:val="243"/>
        </w:trPr>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130,214,868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130,167,496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130,052,858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118,552,231</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130,145,667</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116,316,754</w:t>
            </w:r>
          </w:p>
        </w:tc>
      </w:tr>
      <w:tr>
        <w:trPr>
          <w:trHeight w:val="338"/>
        </w:trPr>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130,433,235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130,346,888</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130,242,765</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118,628,434</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130,324,260</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116,382,822</w:t>
            </w:r>
          </w:p>
        </w:tc>
      </w:tr>
      <w:tr>
        <w:trPr>
          <w:trHeight w:val="432"/>
        </w:trPr>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0.93 %</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0.82 %</w:t>
            </w:r>
          </w:p>
        </w:tc>
      </w:tr>
      <w:tr>
        <w:trPr>
          <w:trHeight w:val="432"/>
        </w:trPr>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9.53 %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9.13 %</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7.82 %</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7.52 %</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8.84 %</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6.82 %</w:t>
            </w:r>
          </w:p>
        </w:tc>
      </w:tr>
      <w:tr>
        <w:trPr>
          <w:trHeight w:val="338"/>
        </w:trPr>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56.08 %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56.65 %</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63.05 %</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62.05 %</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58.51 %</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63.12 %</w:t>
            </w:r>
          </w:p>
        </w:tc>
      </w:tr>
      <w:tr>
        <w:trPr>
          <w:trHeight w:val="338"/>
        </w:trPr>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55.75 %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56.21 %</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59.25 %</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58.87 %</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57.03 %</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61.83 %</w:t>
            </w:r>
          </w:p>
        </w:tc>
      </w:tr>
      <w:tr>
        <w:trPr>
          <w:trHeight w:val="338"/>
        </w:trPr>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85.69 %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86.84 %</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85.18 %</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86.11 %</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85.69 %</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86.11 %</w:t>
            </w:r>
          </w:p>
        </w:tc>
      </w:tr>
      <w:tr>
        <w:trPr>
          <w:trHeight w:val="432"/>
        </w:trPr>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r>
      <w:tr>
        <w:trPr>
          <w:trHeight w:val="243"/>
        </w:trPr>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43"/>
        </w:trPr>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-3925570</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-3616960</wp:posOffset>
            </wp:positionV>
            <wp:extent cx="7132320"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-3188335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-2879725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-2571115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-2142490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-1713865</wp:posOffset>
            </wp:positionV>
            <wp:extent cx="713232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-1165225</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-736600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-307975</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-4234180</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-4517390</wp:posOffset>
            </wp:positionV>
            <wp:extent cx="35572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97" w:lineRule="exact"/>
        <w:rPr>
          <w:sz w:val="20"/>
          <w:szCs w:val="20"/>
          <w:color w:val="auto"/>
        </w:rPr>
      </w:pPr>
    </w:p>
    <w:p>
      <w:pPr>
        <w:sectPr>
          <w:pgSz w:w="11900" w:h="16838" w:orient="portrait"/>
          <w:cols w:equalWidth="0" w:num="2">
            <w:col w:w="2860" w:space="280"/>
            <w:col w:w="8100"/>
          </w:cols>
          <w:pgMar w:left="320" w:top="1251" w:right="339" w:bottom="1440" w:gutter="0" w:footer="0" w:header="0"/>
          <w:type w:val="continuous"/>
        </w:sectPr>
      </w:pPr>
    </w:p>
    <w:p>
      <w:pPr>
        <w:ind w:left="180" w:hanging="172"/>
        <w:spacing w:after="0" w:line="225" w:lineRule="auto"/>
        <w:tabs>
          <w:tab w:leader="none" w:pos="133" w:val="left"/>
        </w:tabs>
        <w:numPr>
          <w:ilvl w:val="0"/>
          <w:numId w:val="13"/>
        </w:numPr>
        <w:rPr>
          <w:rFonts w:ascii="Arial" w:cs="Arial" w:eastAsia="Arial" w:hAnsi="Arial"/>
          <w:sz w:val="21"/>
          <w:szCs w:val="21"/>
          <w:color w:val="auto"/>
          <w:vertAlign w:val="superscript"/>
        </w:rPr>
      </w:pPr>
      <w:r>
        <w:rPr>
          <w:rFonts w:ascii="Times New Roman" w:cs="Times New Roman" w:eastAsia="Times New Roman" w:hAnsi="Times New Roman"/>
          <w:sz w:val="16"/>
          <w:szCs w:val="16"/>
          <w:color w:val="auto"/>
        </w:rPr>
        <w:t>Represents a non-GAAP financial measure. Supplemental “Non-GAAP Financial Measures and Reconciliations” tables are provided to reconcile the most directly comparable financial measure calculated and presented in accordance with GAAP.</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reported net income of $104.6 million for the current quarter, an increase of $6.7 million, or 7 percent, from the prior quarter net income of $97.9 million and an increase of $36.7 million, or 54 percent, from the prior year third quarter net income of $67.9 million. Diluted earnings per share for the current quarter was $0.80, an increase of $0.05 per share, or 7 percent, from the prior quarter diluted earnings per share of $0.75 and an increase of $0.23 per share, or 40 percent, from the prior year third quarter diluted earnings per share of $0.57. Operating diluted earnings per share for the current quarter was $0.81, an increase of $0.05 per share, or 7 percent, from the prior quarter operating diluted earnings per share of $0.76 and an increase of $0.19 per share, or 31 percent, from the prior year third quarter operating diluted earnings per share of $0.62. The current quarter included $1.9 million of compensation from acquisition-related employment agreements and $844 thousand of gains from the sale of former branch facilities and disposal of fixed assets.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for the first nine months of 2026 was $285 million, an increase of $110 million, or 63 percent, from the prior year first nine months net income of $175 million which was driven primarily by the increase in net interest income from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52" w:name="page53"/>
    <w:bookmarkEnd w:id="52"/>
    <w:p>
      <w:pPr>
        <w:jc w:val="both"/>
        <w:spacing w:after="0" w:line="250" w:lineRule="auto"/>
        <w:rPr>
          <w:sz w:val="20"/>
          <w:szCs w:val="20"/>
          <w:color w:val="auto"/>
        </w:rPr>
      </w:pPr>
      <w:r>
        <w:rPr>
          <w:rFonts w:ascii="Times New Roman" w:cs="Times New Roman" w:eastAsia="Times New Roman" w:hAnsi="Times New Roman"/>
          <w:sz w:val="18"/>
          <w:szCs w:val="18"/>
          <w:color w:val="auto"/>
        </w:rPr>
        <w:t>improvement in the net interest margin. Diluted earnings per share for the first nine months of 2026 was $2.18, an increase of $0.67 per share, or 44 percent, from the prior year first nine months diluted earnings per share of $1.51. Operating diluted earnings per share for the first nine months of 2026 was $2.26, an increase of $0.59 per share, or 35 percent, from the prior year first nine months of 2025 operating diluted earnings per share of $1.67.</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current macroeconomic and geopolitical environment is subject to a number of uncertainties, including geopolitical conflicts, tariffs (or the threat thereof) or other changes in trade policies, capital markets volatility, and inflation. These and other factors may contribute to slower or negative economic growth and a challenging business environment for banking customers. The Company continues to monitor the changing macroeconomic and geopolitical environment and any potential future negative impact on our financial condition or results of operations. For more information about these risks, see “Part II, Item 1A, Risk Factors”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Financial Condition Analysis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41"/>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4"/>
        </w:trPr>
        <w:tc>
          <w:tcPr>
            <w:tcW w:w="62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assets as of the dates indicated:</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 Change from</w:t>
            </w:r>
          </w:p>
        </w:tc>
        <w:tc>
          <w:tcPr>
            <w:tcW w:w="1180" w:type="dxa"/>
            <w:vAlign w:val="bottom"/>
            <w:tcBorders>
              <w:bottom w:val="single" w:sz="8" w:color="auto"/>
            </w:tcBorders>
          </w:tcPr>
          <w:p>
            <w:pPr>
              <w:spacing w:after="0"/>
              <w:rPr>
                <w:sz w:val="23"/>
                <w:szCs w:val="23"/>
                <w:color w:val="auto"/>
              </w:rPr>
            </w:pPr>
          </w:p>
        </w:tc>
      </w:tr>
      <w:tr>
        <w:trPr>
          <w:trHeight w:val="191"/>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Sep 30,</w:t>
            </w:r>
          </w:p>
        </w:tc>
        <w:tc>
          <w:tcPr>
            <w:tcW w:w="128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8"/>
                <w:szCs w:val="18"/>
                <w:color w:val="auto"/>
              </w:rPr>
              <w:t>Jun 30,</w:t>
            </w:r>
          </w:p>
        </w:tc>
        <w:tc>
          <w:tcPr>
            <w:tcW w:w="1280" w:type="dxa"/>
            <w:vAlign w:val="bottom"/>
            <w:gridSpan w:val="2"/>
          </w:tcPr>
          <w:p>
            <w:pPr>
              <w:ind w:left="300"/>
              <w:spacing w:after="0" w:line="191" w:lineRule="exact"/>
              <w:rPr>
                <w:sz w:val="20"/>
                <w:szCs w:val="20"/>
                <w:color w:val="auto"/>
              </w:rPr>
            </w:pPr>
            <w:r>
              <w:rPr>
                <w:rFonts w:ascii="Times New Roman" w:cs="Times New Roman" w:eastAsia="Times New Roman" w:hAnsi="Times New Roman"/>
                <w:sz w:val="18"/>
                <w:szCs w:val="18"/>
                <w:color w:val="auto"/>
              </w:rPr>
              <w:t>Dec 31,</w:t>
            </w:r>
          </w:p>
        </w:tc>
        <w:tc>
          <w:tcPr>
            <w:tcW w:w="128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8"/>
                <w:szCs w:val="18"/>
                <w:color w:val="auto"/>
              </w:rPr>
              <w:t>Sep 30,</w:t>
            </w:r>
          </w:p>
        </w:tc>
        <w:tc>
          <w:tcPr>
            <w:tcW w:w="128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8"/>
                <w:szCs w:val="18"/>
                <w:color w:val="auto"/>
              </w:rPr>
              <w:t>Jun 30,</w:t>
            </w:r>
          </w:p>
        </w:tc>
        <w:tc>
          <w:tcPr>
            <w:tcW w:w="1280" w:type="dxa"/>
            <w:vAlign w:val="bottom"/>
            <w:gridSpan w:val="2"/>
          </w:tcPr>
          <w:p>
            <w:pPr>
              <w:jc w:val="center"/>
              <w:ind w:right="80"/>
              <w:spacing w:after="0" w:line="191" w:lineRule="exact"/>
              <w:rPr>
                <w:sz w:val="20"/>
                <w:szCs w:val="20"/>
                <w:color w:val="auto"/>
              </w:rPr>
            </w:pPr>
            <w:r>
              <w:rPr>
                <w:rFonts w:ascii="Times New Roman" w:cs="Times New Roman" w:eastAsia="Times New Roman" w:hAnsi="Times New Roman"/>
                <w:sz w:val="18"/>
                <w:szCs w:val="18"/>
                <w:color w:val="auto"/>
                <w:w w:val="99"/>
              </w:rPr>
              <w:t>Dec 31,</w:t>
            </w:r>
          </w:p>
        </w:tc>
        <w:tc>
          <w:tcPr>
            <w:tcW w:w="1180" w:type="dxa"/>
            <w:vAlign w:val="bottom"/>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Sep 30,</w:t>
            </w:r>
          </w:p>
        </w:tc>
      </w:tr>
      <w:tr>
        <w:trPr>
          <w:trHeight w:val="180"/>
        </w:trPr>
        <w:tc>
          <w:tcPr>
            <w:tcW w:w="20" w:type="dxa"/>
            <w:vAlign w:val="bottom"/>
          </w:tcPr>
          <w:p>
            <w:pPr>
              <w:spacing w:after="0"/>
              <w:rPr>
                <w:sz w:val="15"/>
                <w:szCs w:val="15"/>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5"/>
                <w:szCs w:val="15"/>
                <w:color w:val="auto"/>
              </w:rPr>
            </w:pPr>
          </w:p>
        </w:tc>
        <w:tc>
          <w:tcPr>
            <w:tcW w:w="960" w:type="dxa"/>
            <w:vAlign w:val="bottom"/>
          </w:tcPr>
          <w:p>
            <w:pPr>
              <w:jc w:val="right"/>
              <w:ind w:right="310"/>
              <w:spacing w:after="0" w:line="160"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5"/>
                <w:szCs w:val="15"/>
                <w:color w:val="auto"/>
              </w:rPr>
            </w:pPr>
          </w:p>
        </w:tc>
        <w:tc>
          <w:tcPr>
            <w:tcW w:w="1160" w:type="dxa"/>
            <w:vAlign w:val="bottom"/>
          </w:tcPr>
          <w:p>
            <w:pPr>
              <w:jc w:val="right"/>
              <w:ind w:right="310"/>
              <w:spacing w:after="0" w:line="160"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5"/>
                <w:szCs w:val="15"/>
                <w:color w:val="auto"/>
              </w:rPr>
            </w:pPr>
          </w:p>
        </w:tc>
        <w:tc>
          <w:tcPr>
            <w:tcW w:w="1160" w:type="dxa"/>
            <w:vAlign w:val="bottom"/>
          </w:tcPr>
          <w:p>
            <w:pPr>
              <w:jc w:val="right"/>
              <w:ind w:right="310"/>
              <w:spacing w:after="0" w:line="160" w:lineRule="exact"/>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5"/>
                <w:szCs w:val="15"/>
                <w:color w:val="auto"/>
              </w:rPr>
            </w:pPr>
          </w:p>
        </w:tc>
        <w:tc>
          <w:tcPr>
            <w:tcW w:w="1180" w:type="dxa"/>
            <w:vAlign w:val="bottom"/>
          </w:tcPr>
          <w:p>
            <w:pPr>
              <w:jc w:val="right"/>
              <w:ind w:right="330"/>
              <w:spacing w:after="0" w:line="160"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5"/>
                <w:szCs w:val="15"/>
                <w:color w:val="auto"/>
              </w:rPr>
            </w:pPr>
          </w:p>
        </w:tc>
        <w:tc>
          <w:tcPr>
            <w:tcW w:w="1180" w:type="dxa"/>
            <w:vAlign w:val="bottom"/>
          </w:tcPr>
          <w:p>
            <w:pPr>
              <w:jc w:val="right"/>
              <w:ind w:right="330"/>
              <w:spacing w:after="0" w:line="160"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5"/>
                <w:szCs w:val="15"/>
                <w:color w:val="auto"/>
              </w:rPr>
            </w:pPr>
          </w:p>
        </w:tc>
        <w:tc>
          <w:tcPr>
            <w:tcW w:w="11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5"/>
                <w:szCs w:val="15"/>
                <w:color w:val="auto"/>
              </w:rPr>
            </w:pPr>
          </w:p>
        </w:tc>
        <w:tc>
          <w:tcPr>
            <w:tcW w:w="1180" w:type="dxa"/>
            <w:vAlign w:val="bottom"/>
          </w:tcPr>
          <w:p>
            <w:pPr>
              <w:jc w:val="right"/>
              <w:ind w:right="310"/>
              <w:spacing w:after="0" w:line="160"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1,506,781</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1,056,679</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1,235,261</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854,244</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450,102</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271,520</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652,537</w:t>
            </w:r>
          </w:p>
        </w:tc>
      </w:tr>
      <w:tr>
        <w:trPr>
          <w:trHeight w:val="198"/>
        </w:trPr>
        <w:tc>
          <w:tcPr>
            <w:tcW w:w="20" w:type="dxa"/>
            <w:vAlign w:val="bottom"/>
          </w:tcPr>
          <w:p>
            <w:pPr>
              <w:spacing w:after="0"/>
              <w:rPr>
                <w:sz w:val="17"/>
                <w:szCs w:val="17"/>
                <w:color w:val="auto"/>
              </w:rPr>
            </w:pPr>
          </w:p>
        </w:tc>
        <w:tc>
          <w:tcPr>
            <w:tcW w:w="2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Debt securities, available-for-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sale</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3,595,063</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3,482,725</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4,007,512</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3,916,189</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112,338</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(412,449)</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(321,126)</w:t>
            </w:r>
          </w:p>
        </w:tc>
      </w:tr>
      <w:tr>
        <w:trPr>
          <w:trHeight w:val="198"/>
        </w:trPr>
        <w:tc>
          <w:tcPr>
            <w:tcW w:w="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Debt securities, held-to-</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4"/>
        </w:trPr>
        <w:tc>
          <w:tcPr>
            <w:tcW w:w="2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2,817,933</w:t>
            </w:r>
          </w:p>
        </w:tc>
        <w:tc>
          <w:tcPr>
            <w:tcW w:w="12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3,004,758</w:t>
            </w:r>
          </w:p>
        </w:tc>
        <w:tc>
          <w:tcPr>
            <w:tcW w:w="12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3,110,216</w:t>
            </w:r>
          </w:p>
        </w:tc>
        <w:tc>
          <w:tcPr>
            <w:tcW w:w="12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3,155,901</w:t>
            </w:r>
          </w:p>
        </w:tc>
        <w:tc>
          <w:tcPr>
            <w:tcW w:w="10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(186,825)</w:t>
            </w:r>
          </w:p>
        </w:tc>
        <w:tc>
          <w:tcPr>
            <w:tcW w:w="10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(292,283)</w:t>
            </w:r>
          </w:p>
        </w:tc>
        <w:tc>
          <w:tcPr>
            <w:tcW w:w="10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(337,968)</w:t>
            </w:r>
          </w:p>
        </w:tc>
      </w:tr>
      <w:tr>
        <w:trPr>
          <w:trHeight w:val="237"/>
        </w:trPr>
        <w:tc>
          <w:tcPr>
            <w:tcW w:w="20" w:type="dxa"/>
            <w:vAlign w:val="bottom"/>
          </w:tcPr>
          <w:p>
            <w:pPr>
              <w:spacing w:after="0"/>
              <w:rPr>
                <w:sz w:val="20"/>
                <w:szCs w:val="20"/>
                <w:color w:val="auto"/>
              </w:rPr>
            </w:pPr>
          </w:p>
        </w:tc>
        <w:tc>
          <w:tcPr>
            <w:tcW w:w="2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Total debt securities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6,412,996</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6,487,483</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7,117,728</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7,072,090</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(74,487)</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(704,732)</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(659,094)</w:t>
            </w:r>
          </w:p>
        </w:tc>
      </w:tr>
      <w:tr>
        <w:trPr>
          <w:trHeight w:val="243"/>
        </w:trPr>
        <w:tc>
          <w:tcPr>
            <w:tcW w:w="20" w:type="dxa"/>
            <w:vAlign w:val="bottom"/>
            <w:shd w:val="clear" w:color="auto" w:fill="CCEEFF"/>
          </w:tcPr>
          <w:p>
            <w:pPr>
              <w:spacing w:after="0"/>
              <w:rPr>
                <w:sz w:val="21"/>
                <w:szCs w:val="21"/>
                <w:color w:val="auto"/>
              </w:rPr>
            </w:pPr>
          </w:p>
        </w:tc>
        <w:tc>
          <w:tcPr>
            <w:tcW w:w="23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 xml:space="preserve">Loans receivable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Residential real estate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2,104,815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2,111,683</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2,457,907</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1,926,448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(353,092)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178,367</w:t>
            </w:r>
          </w:p>
        </w:tc>
      </w:tr>
      <w:tr>
        <w:trPr>
          <w:trHeight w:val="243"/>
        </w:trPr>
        <w:tc>
          <w:tcPr>
            <w:tcW w:w="20" w:type="dxa"/>
            <w:vAlign w:val="bottom"/>
            <w:shd w:val="clear" w:color="auto" w:fill="CCEEFF"/>
          </w:tcPr>
          <w:p>
            <w:pPr>
              <w:spacing w:after="0"/>
              <w:rPr>
                <w:sz w:val="21"/>
                <w:szCs w:val="21"/>
                <w:color w:val="auto"/>
              </w:rPr>
            </w:pPr>
          </w:p>
        </w:tc>
        <w:tc>
          <w:tcPr>
            <w:tcW w:w="2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14,432,233</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14,155,059</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13,565,512</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12,045,446</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277,174</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866,721</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2,386,787</w:t>
            </w:r>
          </w:p>
        </w:tc>
      </w:tr>
      <w:tr>
        <w:trPr>
          <w:trHeight w:val="243"/>
        </w:trPr>
        <w:tc>
          <w:tcPr>
            <w:tcW w:w="20" w:type="dxa"/>
            <w:vAlign w:val="bottom"/>
          </w:tcPr>
          <w:p>
            <w:pPr>
              <w:spacing w:after="0"/>
              <w:rPr>
                <w:sz w:val="21"/>
                <w:szCs w:val="21"/>
                <w:color w:val="auto"/>
              </w:rPr>
            </w:pP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commercial</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3,613,414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3,615,240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3,497,829</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3,451,177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115,585</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162,237</w:t>
            </w:r>
          </w:p>
        </w:tc>
      </w:tr>
      <w:tr>
        <w:trPr>
          <w:trHeight w:val="243"/>
        </w:trPr>
        <w:tc>
          <w:tcPr>
            <w:tcW w:w="20" w:type="dxa"/>
            <w:vAlign w:val="bottom"/>
            <w:shd w:val="clear" w:color="auto" w:fill="CCEEFF"/>
          </w:tcPr>
          <w:p>
            <w:pPr>
              <w:spacing w:after="0"/>
              <w:rPr>
                <w:sz w:val="21"/>
                <w:szCs w:val="21"/>
                <w:color w:val="auto"/>
              </w:rPr>
            </w:pPr>
          </w:p>
        </w:tc>
        <w:tc>
          <w:tcPr>
            <w:tcW w:w="2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Home equity</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1,050,852</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1,054,110</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977,206</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980,472</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73,646</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70,380</w:t>
            </w:r>
          </w:p>
        </w:tc>
      </w:tr>
      <w:tr>
        <w:trPr>
          <w:trHeight w:val="243"/>
        </w:trPr>
        <w:tc>
          <w:tcPr>
            <w:tcW w:w="20" w:type="dxa"/>
            <w:vAlign w:val="bottom"/>
            <w:tcBorders>
              <w:bottom w:val="single" w:sz="8" w:color="CCEEFF"/>
            </w:tcBorders>
          </w:tcPr>
          <w:p>
            <w:pPr>
              <w:spacing w:after="0"/>
              <w:rPr>
                <w:sz w:val="21"/>
                <w:szCs w:val="21"/>
                <w:color w:val="auto"/>
              </w:rPr>
            </w:pPr>
          </w:p>
        </w:tc>
        <w:tc>
          <w:tcPr>
            <w:tcW w:w="23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 consumer</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418,216</w:t>
            </w: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427,631</w:t>
            </w: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429,342</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387,443</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30,773</w:t>
            </w:r>
          </w:p>
        </w:tc>
      </w:tr>
      <w:tr>
        <w:trPr>
          <w:trHeight w:val="237"/>
        </w:trPr>
        <w:tc>
          <w:tcPr>
            <w:tcW w:w="2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Loans receivable</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21,619,530</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21,363,723</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20,927,796</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18,790,986</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255,807</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691,734</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2,828,544</w:t>
            </w:r>
          </w:p>
        </w:tc>
      </w:tr>
      <w:tr>
        <w:trPr>
          <w:trHeight w:val="243"/>
        </w:trPr>
        <w:tc>
          <w:tcPr>
            <w:tcW w:w="20" w:type="dxa"/>
            <w:vAlign w:val="bottom"/>
            <w:tcBorders>
              <w:bottom w:val="single" w:sz="8" w:color="CCEEFF"/>
            </w:tcBorders>
          </w:tcPr>
          <w:p>
            <w:pPr>
              <w:spacing w:after="0"/>
              <w:rPr>
                <w:sz w:val="21"/>
                <w:szCs w:val="21"/>
                <w:color w:val="auto"/>
              </w:rPr>
            </w:pPr>
          </w:p>
        </w:tc>
        <w:tc>
          <w:tcPr>
            <w:tcW w:w="23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(259,668)</w:t>
            </w: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(260,025)</w:t>
            </w: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(255,319)</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(229,077)</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(30,591)</w:t>
            </w:r>
          </w:p>
        </w:tc>
      </w:tr>
      <w:tr>
        <w:trPr>
          <w:trHeight w:val="237"/>
        </w:trPr>
        <w:tc>
          <w:tcPr>
            <w:tcW w:w="2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Loans receivable, net</w:t>
            </w: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21,359,862</w:t>
            </w:r>
          </w:p>
        </w:tc>
        <w:tc>
          <w:tcPr>
            <w:tcW w:w="12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21,103,698</w:t>
            </w:r>
          </w:p>
        </w:tc>
        <w:tc>
          <w:tcPr>
            <w:tcW w:w="12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20,672,477</w:t>
            </w:r>
          </w:p>
        </w:tc>
        <w:tc>
          <w:tcPr>
            <w:tcW w:w="12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18,561,909</w:t>
            </w:r>
          </w:p>
        </w:tc>
        <w:tc>
          <w:tcPr>
            <w:tcW w:w="10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256,164</w:t>
            </w:r>
          </w:p>
        </w:tc>
        <w:tc>
          <w:tcPr>
            <w:tcW w:w="10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687,385</w:t>
            </w:r>
          </w:p>
        </w:tc>
        <w:tc>
          <w:tcPr>
            <w:tcW w:w="10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2,797,953</w:t>
            </w:r>
          </w:p>
        </w:tc>
      </w:tr>
      <w:tr>
        <w:trPr>
          <w:trHeight w:val="236"/>
        </w:trPr>
        <w:tc>
          <w:tcPr>
            <w:tcW w:w="2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3,011,165</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2,951,141</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2,952,597</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2,527,384</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60,024</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58,568</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483,781</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32,290,804</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31,599,001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31,978,063</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29,015,627</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691,803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312,741</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left="180" w:hanging="172"/>
        <w:spacing w:after="0" w:line="217" w:lineRule="auto"/>
        <w:tabs>
          <w:tab w:leader="none" w:pos="243"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connection with the Guaranty core system conversion, Guaranty loans were reclassified in the first quarter to conform to the Company’s classifications. There were approximately $236 million of loans reclassified from residential loans into other categories, the majority of which were reclassified to commercial real estate loans.</w:t>
      </w: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debt securities of $6.413 billion at September 30, 2026, decreased $74.5 million, or 1 percent, during the current quarter and decreased $659 million, or 9 percent, from the prior year third quarter. The Company selectively purchased debt securities during the current quarter with the Company’s excess liquidity position. Debt securities represented 20 percent of total assets at September 30, 2026, compared to 21 percent at June 30, 2026, and 24 percent at September 30, 2025.</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loan portfolio of $21.620 billion at September 30, 2026, increased $256 million, or 5 percent annualized, from the prior quarter. The loan portfolio increased $2.829 billion, or 15 percent, from the prior year third quarter. Excluding the Guaranty acquisition on October 1, 2025, the loan portfolio increased $726 million, or 4 percent, from the prior year third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liabilities as of the dates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 Change from</w:t>
            </w:r>
          </w:p>
        </w:tc>
        <w:tc>
          <w:tcPr>
            <w:tcW w:w="11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Sep 30,</w:t>
            </w:r>
          </w:p>
        </w:tc>
        <w:tc>
          <w:tcPr>
            <w:tcW w:w="1280" w:type="dxa"/>
            <w:vAlign w:val="bottom"/>
            <w:gridSpan w:val="2"/>
          </w:tcPr>
          <w:p>
            <w:pPr>
              <w:ind w:left="340"/>
              <w:spacing w:after="0" w:line="182" w:lineRule="exact"/>
              <w:rPr>
                <w:sz w:val="20"/>
                <w:szCs w:val="20"/>
                <w:color w:val="auto"/>
              </w:rPr>
            </w:pPr>
            <w:r>
              <w:rPr>
                <w:rFonts w:ascii="Times New Roman" w:cs="Times New Roman" w:eastAsia="Times New Roman" w:hAnsi="Times New Roman"/>
                <w:sz w:val="18"/>
                <w:szCs w:val="18"/>
                <w:color w:val="auto"/>
              </w:rPr>
              <w:t>Jun 30,</w:t>
            </w:r>
          </w:p>
        </w:tc>
        <w:tc>
          <w:tcPr>
            <w:tcW w:w="1300" w:type="dxa"/>
            <w:vAlign w:val="bottom"/>
            <w:gridSpan w:val="2"/>
          </w:tcPr>
          <w:p>
            <w:pPr>
              <w:ind w:left="320"/>
              <w:spacing w:after="0" w:line="182" w:lineRule="exact"/>
              <w:rPr>
                <w:sz w:val="20"/>
                <w:szCs w:val="20"/>
                <w:color w:val="auto"/>
              </w:rPr>
            </w:pPr>
            <w:r>
              <w:rPr>
                <w:rFonts w:ascii="Times New Roman" w:cs="Times New Roman" w:eastAsia="Times New Roman" w:hAnsi="Times New Roman"/>
                <w:sz w:val="18"/>
                <w:szCs w:val="18"/>
                <w:color w:val="auto"/>
              </w:rPr>
              <w:t>Dec 31,</w:t>
            </w:r>
          </w:p>
        </w:tc>
        <w:tc>
          <w:tcPr>
            <w:tcW w:w="1280" w:type="dxa"/>
            <w:vAlign w:val="bottom"/>
            <w:gridSpan w:val="2"/>
          </w:tcPr>
          <w:p>
            <w:pPr>
              <w:ind w:left="300"/>
              <w:spacing w:after="0" w:line="182" w:lineRule="exact"/>
              <w:rPr>
                <w:sz w:val="20"/>
                <w:szCs w:val="20"/>
                <w:color w:val="auto"/>
              </w:rPr>
            </w:pPr>
            <w:r>
              <w:rPr>
                <w:rFonts w:ascii="Times New Roman" w:cs="Times New Roman" w:eastAsia="Times New Roman" w:hAnsi="Times New Roman"/>
                <w:sz w:val="18"/>
                <w:szCs w:val="18"/>
                <w:color w:val="auto"/>
              </w:rPr>
              <w:t>Sep 30,</w:t>
            </w:r>
          </w:p>
        </w:tc>
        <w:tc>
          <w:tcPr>
            <w:tcW w:w="1260" w:type="dxa"/>
            <w:vAlign w:val="bottom"/>
            <w:gridSpan w:val="2"/>
          </w:tcPr>
          <w:p>
            <w:pPr>
              <w:ind w:left="320"/>
              <w:spacing w:after="0" w:line="182" w:lineRule="exact"/>
              <w:rPr>
                <w:sz w:val="20"/>
                <w:szCs w:val="20"/>
                <w:color w:val="auto"/>
              </w:rPr>
            </w:pPr>
            <w:r>
              <w:rPr>
                <w:rFonts w:ascii="Times New Roman" w:cs="Times New Roman" w:eastAsia="Times New Roman" w:hAnsi="Times New Roman"/>
                <w:sz w:val="18"/>
                <w:szCs w:val="18"/>
                <w:color w:val="auto"/>
              </w:rPr>
              <w:t>Jun 30,</w:t>
            </w:r>
          </w:p>
        </w:tc>
        <w:tc>
          <w:tcPr>
            <w:tcW w:w="128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color w:val="auto"/>
                <w:w w:val="99"/>
              </w:rPr>
              <w:t>Dec 31,</w:t>
            </w:r>
          </w:p>
        </w:tc>
        <w:tc>
          <w:tcPr>
            <w:tcW w:w="118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Sep 30,</w:t>
            </w:r>
          </w:p>
        </w:tc>
      </w:tr>
      <w:tr>
        <w:trPr>
          <w:trHeight w:val="189"/>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98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18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18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6"/>
                <w:szCs w:val="16"/>
                <w:color w:val="auto"/>
              </w:rPr>
            </w:pPr>
          </w:p>
        </w:tc>
        <w:tc>
          <w:tcPr>
            <w:tcW w:w="116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6"/>
                <w:szCs w:val="16"/>
                <w:color w:val="auto"/>
              </w:rPr>
            </w:pPr>
          </w:p>
        </w:tc>
        <w:tc>
          <w:tcPr>
            <w:tcW w:w="116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6"/>
                <w:szCs w:val="16"/>
                <w:color w:val="auto"/>
              </w:rPr>
            </w:pPr>
          </w:p>
        </w:tc>
        <w:tc>
          <w:tcPr>
            <w:tcW w:w="118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2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Non-interest bearing deposits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7,702,429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7,423,439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7,314,779</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6,674,441</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278,990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387,650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1,027,988</w:t>
            </w:r>
          </w:p>
        </w:tc>
      </w:tr>
      <w:tr>
        <w:trPr>
          <w:trHeight w:val="243"/>
        </w:trPr>
        <w:tc>
          <w:tcPr>
            <w:tcW w:w="20" w:type="dxa"/>
            <w:vAlign w:val="bottom"/>
            <w:shd w:val="clear" w:color="auto" w:fill="CCEEFF"/>
          </w:tcPr>
          <w:p>
            <w:pPr>
              <w:spacing w:after="0"/>
              <w:rPr>
                <w:sz w:val="21"/>
                <w:szCs w:val="21"/>
                <w:color w:val="auto"/>
              </w:rPr>
            </w:pPr>
          </w:p>
        </w:tc>
        <w:tc>
          <w:tcPr>
            <w:tcW w:w="2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NOW and DDA accounts</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6,139,924</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6,192,363</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6,236,551</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5,805,816</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(52,439)</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(96,627)</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334,108</w:t>
            </w:r>
          </w:p>
        </w:tc>
      </w:tr>
      <w:tr>
        <w:trPr>
          <w:trHeight w:val="243"/>
        </w:trPr>
        <w:tc>
          <w:tcPr>
            <w:tcW w:w="20" w:type="dxa"/>
            <w:vAlign w:val="bottom"/>
          </w:tcPr>
          <w:p>
            <w:pPr>
              <w:spacing w:after="0"/>
              <w:rPr>
                <w:sz w:val="21"/>
                <w:szCs w:val="21"/>
                <w:color w:val="auto"/>
              </w:rPr>
            </w:pP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Savings accounts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3,225,270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3,169,141</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3,158,939</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3,049,753</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66,331</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175,517</w:t>
            </w:r>
          </w:p>
        </w:tc>
      </w:tr>
      <w:tr>
        <w:trPr>
          <w:trHeight w:val="189"/>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Money market deposit</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43"/>
        </w:trPr>
        <w:tc>
          <w:tcPr>
            <w:tcW w:w="20" w:type="dxa"/>
            <w:vAlign w:val="bottom"/>
            <w:shd w:val="clear" w:color="auto" w:fill="CCEEFF"/>
          </w:tcPr>
          <w:p>
            <w:pPr>
              <w:spacing w:after="0"/>
              <w:rPr>
                <w:sz w:val="21"/>
                <w:szCs w:val="21"/>
                <w:color w:val="auto"/>
              </w:rPr>
            </w:pPr>
          </w:p>
        </w:tc>
        <w:tc>
          <w:tcPr>
            <w:tcW w:w="2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4,458,524</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4,132,820</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3,948,201</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3,137,810</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325,704</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510,323</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1,320,714</w:t>
            </w:r>
          </w:p>
        </w:tc>
      </w:tr>
      <w:tr>
        <w:trPr>
          <w:trHeight w:val="243"/>
        </w:trPr>
        <w:tc>
          <w:tcPr>
            <w:tcW w:w="20" w:type="dxa"/>
            <w:vAlign w:val="bottom"/>
            <w:tcBorders>
              <w:bottom w:val="single" w:sz="8" w:color="CCEEFF"/>
            </w:tcBorders>
          </w:tcPr>
          <w:p>
            <w:pPr>
              <w:spacing w:after="0"/>
              <w:rPr>
                <w:sz w:val="21"/>
                <w:szCs w:val="21"/>
                <w:color w:val="auto"/>
              </w:rPr>
            </w:pPr>
          </w:p>
        </w:tc>
        <w:tc>
          <w:tcPr>
            <w:tcW w:w="23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Certificate accounts</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3,743,285</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3,732,971</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3,928,550</w:t>
            </w: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3,199,825</w:t>
            </w: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(185,265)</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543,460</w:t>
            </w:r>
          </w:p>
        </w:tc>
      </w:tr>
      <w:tr>
        <w:trPr>
          <w:trHeight w:val="237"/>
        </w:trPr>
        <w:tc>
          <w:tcPr>
            <w:tcW w:w="2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Core deposits, total</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25,269,432</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24,650,734</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24,587,020</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21,867,645</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618,698</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682,412</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3,401,787</w:t>
            </w:r>
          </w:p>
        </w:tc>
      </w:tr>
      <w:tr>
        <w:trPr>
          <w:trHeight w:val="243"/>
        </w:trPr>
        <w:tc>
          <w:tcPr>
            <w:tcW w:w="20" w:type="dxa"/>
            <w:vAlign w:val="bottom"/>
            <w:tcBorders>
              <w:bottom w:val="single" w:sz="8" w:color="CCEEFF"/>
            </w:tcBorders>
          </w:tcPr>
          <w:p>
            <w:pPr>
              <w:spacing w:after="0"/>
              <w:rPr>
                <w:sz w:val="21"/>
                <w:szCs w:val="21"/>
                <w:color w:val="auto"/>
              </w:rPr>
            </w:pPr>
          </w:p>
        </w:tc>
        <w:tc>
          <w:tcPr>
            <w:tcW w:w="23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Wholesale deposits</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Deposits, total</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25,272,737</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24,654,117</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24,591,096</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21,870,949</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618,620</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681,641</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3,401,788</w:t>
            </w:r>
          </w:p>
        </w:tc>
      </w:tr>
      <w:tr>
        <w:trPr>
          <w:trHeight w:val="189"/>
        </w:trPr>
        <w:tc>
          <w:tcPr>
            <w:tcW w:w="20" w:type="dxa"/>
            <w:vAlign w:val="bottom"/>
          </w:tcPr>
          <w:p>
            <w:pPr>
              <w:spacing w:after="0"/>
              <w:rPr>
                <w:sz w:val="16"/>
                <w:szCs w:val="16"/>
                <w:color w:val="auto"/>
              </w:rPr>
            </w:pPr>
          </w:p>
        </w:tc>
        <w:tc>
          <w:tcPr>
            <w:tcW w:w="2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Securities sold under</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2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agreements to repurchase</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1,954,925</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1,952,501</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2,084,113</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2,004,286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(129,188)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(49,361)</w:t>
            </w:r>
          </w:p>
        </w:tc>
      </w:tr>
      <w:tr>
        <w:trPr>
          <w:trHeight w:val="243"/>
        </w:trPr>
        <w:tc>
          <w:tcPr>
            <w:tcW w:w="20" w:type="dxa"/>
            <w:vAlign w:val="bottom"/>
            <w:shd w:val="clear" w:color="auto" w:fill="CCEEFF"/>
          </w:tcPr>
          <w:p>
            <w:pPr>
              <w:spacing w:after="0"/>
              <w:rPr>
                <w:sz w:val="21"/>
                <w:szCs w:val="21"/>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advances</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895,022</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(895,022)</w:t>
            </w:r>
          </w:p>
        </w:tc>
      </w:tr>
      <w:tr>
        <w:trPr>
          <w:trHeight w:val="243"/>
        </w:trPr>
        <w:tc>
          <w:tcPr>
            <w:tcW w:w="20" w:type="dxa"/>
            <w:vAlign w:val="bottom"/>
          </w:tcPr>
          <w:p>
            <w:pPr>
              <w:spacing w:after="0"/>
              <w:rPr>
                <w:sz w:val="21"/>
                <w:szCs w:val="21"/>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borrowed funds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51,744</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51,473</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59,779</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r>
      <w:tr>
        <w:trPr>
          <w:trHeight w:val="243"/>
        </w:trPr>
        <w:tc>
          <w:tcPr>
            <w:tcW w:w="20" w:type="dxa"/>
            <w:vAlign w:val="bottom"/>
            <w:shd w:val="clear" w:color="auto" w:fill="CCEEFF"/>
          </w:tcPr>
          <w:p>
            <w:pPr>
              <w:spacing w:after="0"/>
              <w:rPr>
                <w:sz w:val="21"/>
                <w:szCs w:val="21"/>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30,559</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31,606</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28,808</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18,401</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w:t>
            </w:r>
          </w:p>
        </w:tc>
      </w:tr>
      <w:tr>
        <w:trPr>
          <w:trHeight w:val="243"/>
        </w:trPr>
        <w:tc>
          <w:tcPr>
            <w:tcW w:w="20" w:type="dxa"/>
            <w:vAlign w:val="bottom"/>
          </w:tcPr>
          <w:p>
            <w:pPr>
              <w:spacing w:after="0"/>
              <w:rPr>
                <w:sz w:val="21"/>
                <w:szCs w:val="21"/>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debentures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174,113</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188,573</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187,492</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157,379</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16,734</w:t>
            </w:r>
          </w:p>
        </w:tc>
      </w:tr>
      <w:tr>
        <w:trPr>
          <w:trHeight w:val="243"/>
        </w:trPr>
        <w:tc>
          <w:tcPr>
            <w:tcW w:w="20" w:type="dxa"/>
            <w:vAlign w:val="bottom"/>
            <w:shd w:val="clear" w:color="auto" w:fill="CCEEFF"/>
          </w:tcPr>
          <w:p>
            <w:pPr>
              <w:spacing w:after="0"/>
              <w:rPr>
                <w:sz w:val="21"/>
                <w:szCs w:val="21"/>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466,865</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406,302</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381,260</w:t>
            </w:r>
          </w:p>
        </w:tc>
        <w:tc>
          <w:tcPr>
            <w:tcW w:w="12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401,523</w:t>
            </w:r>
          </w:p>
        </w:tc>
        <w:tc>
          <w:tcPr>
            <w:tcW w:w="12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60,563</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85,605</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65,342</w:t>
            </w:r>
          </w:p>
        </w:tc>
      </w:tr>
      <w:tr>
        <w:trPr>
          <w:trHeight w:val="237"/>
        </w:trPr>
        <w:tc>
          <w:tcPr>
            <w:tcW w:w="20" w:type="dxa"/>
            <w:vAlign w:val="bottom"/>
          </w:tcPr>
          <w:p>
            <w:pPr>
              <w:spacing w:after="0"/>
              <w:rPr>
                <w:sz w:val="20"/>
                <w:szCs w:val="20"/>
                <w:color w:val="auto"/>
              </w:rPr>
            </w:pPr>
          </w:p>
        </w:tc>
        <w:tc>
          <w:tcPr>
            <w:tcW w:w="2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27,950,943</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27,285,979</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27,764,242</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25,407,339</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664,964</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186,701</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2,543,604</w:t>
            </w: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Total deposits of $25.273 billion at September 30, 2026, increased $619 million, or 10 percent annualized, during the current quarter and increased $3.402 billion, or 16 percent, from the prior year third quarter. Excluding a temporary quarter-end deposit expected to largely exit in the fourth quarter, total deposits increased $308 million, or 5 percent annualized, from the prior quarter. Excluding the Guaranty acquisition, total deposits increased $695 million, or 3 percent, from the prior year third quarter.</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Non-interest bearing deposits of $7.702 billion at September 30, 2026, increased $279 million, or 15 percent annualized, during the current quarter and increased $1.028 billion, or 15 percent, from the prior year third quarter. Excluding the impact of the temporary quarter-end deposit, non-interest bearing deposits increased $197 million, or 11 percent annualized, from the prior quarter. Non-interest bearing deposits represented 30 percent of total deposits at each of September 30, 2026, and June 30, 2026, compared to 31 percent at September 30,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“Additional Management’s Discussion and Analysis - Source of Funds - Borrowers” for additional information regarding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stockholders’ equity ratios as of the dates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 Change from</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(Dollars in thousands, except per</w:t>
            </w:r>
          </w:p>
        </w:tc>
        <w:tc>
          <w:tcPr>
            <w:tcW w:w="18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Sep 30,</w:t>
            </w: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Jun 30,</w:t>
            </w:r>
          </w:p>
        </w:tc>
        <w:tc>
          <w:tcPr>
            <w:tcW w:w="1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Dec 31,</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Sep 30,</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Jun 30,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 31,</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Sep 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2"/>
          </w:tcPr>
          <w:p>
            <w:pPr>
              <w:spacing w:after="0" w:line="135" w:lineRule="exact"/>
              <w:rPr>
                <w:sz w:val="20"/>
                <w:szCs w:val="20"/>
                <w:color w:val="auto"/>
              </w:rPr>
            </w:pPr>
            <w:r>
              <w:rPr>
                <w:rFonts w:ascii="Times New Roman" w:cs="Times New Roman" w:eastAsia="Times New Roman" w:hAnsi="Times New Roman"/>
                <w:sz w:val="14"/>
                <w:szCs w:val="14"/>
                <w:color w:val="auto"/>
              </w:rPr>
              <w:t>share data)</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372"/>
              <w:spacing w:after="0" w:line="135" w:lineRule="exact"/>
              <w:rPr>
                <w:sz w:val="20"/>
                <w:szCs w:val="20"/>
                <w:color w:val="auto"/>
              </w:rPr>
            </w:pPr>
            <w:r>
              <w:rPr>
                <w:rFonts w:ascii="Times New Roman" w:cs="Times New Roman" w:eastAsia="Times New Roman" w:hAnsi="Times New Roman"/>
                <w:sz w:val="15"/>
                <w:szCs w:val="15"/>
                <w:color w:val="auto"/>
              </w:rPr>
              <w:t>2026</w:t>
            </w:r>
          </w:p>
        </w:tc>
        <w:tc>
          <w:tcPr>
            <w:tcW w:w="100" w:type="dxa"/>
            <w:vAlign w:val="bottom"/>
          </w:tcPr>
          <w:p>
            <w:pPr>
              <w:spacing w:after="0"/>
              <w:rPr>
                <w:sz w:val="11"/>
                <w:szCs w:val="11"/>
                <w:color w:val="auto"/>
              </w:rPr>
            </w:pPr>
          </w:p>
        </w:tc>
        <w:tc>
          <w:tcPr>
            <w:tcW w:w="1280" w:type="dxa"/>
            <w:vAlign w:val="bottom"/>
          </w:tcPr>
          <w:p>
            <w:pPr>
              <w:jc w:val="right"/>
              <w:ind w:right="372"/>
              <w:spacing w:after="0" w:line="135" w:lineRule="exact"/>
              <w:rPr>
                <w:sz w:val="20"/>
                <w:szCs w:val="20"/>
                <w:color w:val="auto"/>
              </w:rPr>
            </w:pPr>
            <w:r>
              <w:rPr>
                <w:rFonts w:ascii="Times New Roman" w:cs="Times New Roman" w:eastAsia="Times New Roman" w:hAnsi="Times New Roman"/>
                <w:sz w:val="15"/>
                <w:szCs w:val="15"/>
                <w:color w:val="auto"/>
              </w:rPr>
              <w:t>2026</w:t>
            </w:r>
          </w:p>
        </w:tc>
        <w:tc>
          <w:tcPr>
            <w:tcW w:w="100" w:type="dxa"/>
            <w:vAlign w:val="bottom"/>
          </w:tcPr>
          <w:p>
            <w:pPr>
              <w:spacing w:after="0"/>
              <w:rPr>
                <w:sz w:val="11"/>
                <w:szCs w:val="11"/>
                <w:color w:val="auto"/>
              </w:rPr>
            </w:pPr>
          </w:p>
        </w:tc>
        <w:tc>
          <w:tcPr>
            <w:tcW w:w="1280" w:type="dxa"/>
            <w:vAlign w:val="bottom"/>
          </w:tcPr>
          <w:p>
            <w:pPr>
              <w:jc w:val="right"/>
              <w:ind w:right="372"/>
              <w:spacing w:after="0" w:line="135" w:lineRule="exact"/>
              <w:rPr>
                <w:sz w:val="20"/>
                <w:szCs w:val="20"/>
                <w:color w:val="auto"/>
              </w:rPr>
            </w:pPr>
            <w:r>
              <w:rPr>
                <w:rFonts w:ascii="Times New Roman" w:cs="Times New Roman" w:eastAsia="Times New Roman" w:hAnsi="Times New Roman"/>
                <w:sz w:val="15"/>
                <w:szCs w:val="15"/>
                <w:color w:val="auto"/>
              </w:rPr>
              <w:t>2025</w:t>
            </w:r>
          </w:p>
        </w:tc>
        <w:tc>
          <w:tcPr>
            <w:tcW w:w="120" w:type="dxa"/>
            <w:vAlign w:val="bottom"/>
          </w:tcPr>
          <w:p>
            <w:pPr>
              <w:spacing w:after="0"/>
              <w:rPr>
                <w:sz w:val="11"/>
                <w:szCs w:val="11"/>
                <w:color w:val="auto"/>
              </w:rPr>
            </w:pPr>
          </w:p>
        </w:tc>
        <w:tc>
          <w:tcPr>
            <w:tcW w:w="1280" w:type="dxa"/>
            <w:vAlign w:val="bottom"/>
          </w:tcPr>
          <w:p>
            <w:pPr>
              <w:jc w:val="right"/>
              <w:ind w:right="372"/>
              <w:spacing w:after="0" w:line="135" w:lineRule="exact"/>
              <w:rPr>
                <w:sz w:val="20"/>
                <w:szCs w:val="20"/>
                <w:color w:val="auto"/>
              </w:rPr>
            </w:pPr>
            <w:r>
              <w:rPr>
                <w:rFonts w:ascii="Times New Roman" w:cs="Times New Roman" w:eastAsia="Times New Roman" w:hAnsi="Times New Roman"/>
                <w:sz w:val="15"/>
                <w:szCs w:val="15"/>
                <w:color w:val="auto"/>
              </w:rPr>
              <w:t>2025</w:t>
            </w:r>
          </w:p>
        </w:tc>
        <w:tc>
          <w:tcPr>
            <w:tcW w:w="100" w:type="dxa"/>
            <w:vAlign w:val="bottom"/>
          </w:tcPr>
          <w:p>
            <w:pPr>
              <w:spacing w:after="0"/>
              <w:rPr>
                <w:sz w:val="11"/>
                <w:szCs w:val="11"/>
                <w:color w:val="auto"/>
              </w:rPr>
            </w:pPr>
          </w:p>
        </w:tc>
        <w:tc>
          <w:tcPr>
            <w:tcW w:w="1100" w:type="dxa"/>
            <w:vAlign w:val="bottom"/>
          </w:tcPr>
          <w:p>
            <w:pPr>
              <w:jc w:val="right"/>
              <w:ind w:right="292"/>
              <w:spacing w:after="0" w:line="135" w:lineRule="exact"/>
              <w:rPr>
                <w:sz w:val="20"/>
                <w:szCs w:val="20"/>
                <w:color w:val="auto"/>
              </w:rPr>
            </w:pPr>
            <w:r>
              <w:rPr>
                <w:rFonts w:ascii="Times New Roman" w:cs="Times New Roman" w:eastAsia="Times New Roman" w:hAnsi="Times New Roman"/>
                <w:sz w:val="15"/>
                <w:szCs w:val="15"/>
                <w:color w:val="auto"/>
              </w:rPr>
              <w:t>2026</w:t>
            </w:r>
          </w:p>
        </w:tc>
        <w:tc>
          <w:tcPr>
            <w:tcW w:w="1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5"/>
                <w:szCs w:val="15"/>
                <w:color w:val="auto"/>
              </w:rPr>
              <w:t>2025</w:t>
            </w:r>
          </w:p>
        </w:tc>
        <w:tc>
          <w:tcPr>
            <w:tcW w:w="100" w:type="dxa"/>
            <w:vAlign w:val="bottom"/>
          </w:tcPr>
          <w:p>
            <w:pPr>
              <w:spacing w:after="0"/>
              <w:rPr>
                <w:sz w:val="11"/>
                <w:szCs w:val="11"/>
                <w:color w:val="auto"/>
              </w:rPr>
            </w:pPr>
          </w:p>
        </w:tc>
        <w:tc>
          <w:tcPr>
            <w:tcW w:w="1120" w:type="dxa"/>
            <w:vAlign w:val="bottom"/>
          </w:tcPr>
          <w:p>
            <w:pPr>
              <w:jc w:val="right"/>
              <w:ind w:right="292"/>
              <w:spacing w:after="0" w:line="135" w:lineRule="exact"/>
              <w:rPr>
                <w:sz w:val="20"/>
                <w:szCs w:val="20"/>
                <w:color w:val="auto"/>
              </w:rPr>
            </w:pPr>
            <w:r>
              <w:rPr>
                <w:rFonts w:ascii="Times New Roman" w:cs="Times New Roman" w:eastAsia="Times New Roman" w:hAnsi="Times New Roman"/>
                <w:sz w:val="15"/>
                <w:szCs w:val="15"/>
                <w:color w:val="auto"/>
              </w:rPr>
              <w:t>2025</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4,546,197</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4,484,316</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4,380,931</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3,801,178</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61,881</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165,266</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Accumulated other</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(206,336)</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(171,294)</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(167,110)</w:t>
            </w:r>
          </w:p>
        </w:tc>
        <w:tc>
          <w:tcPr>
            <w:tcW w:w="12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(192,890)</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(35,042)</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(39,226)</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4,339,861</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4,313,022</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4,213,821</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3,608,288</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26,839</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126,040</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Goodwill and core deposit</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intangible, net</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(1,469,156)</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(1,473,954)</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(1,483,552)</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(1,182,536)</w:t>
            </w: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14,396</w:t>
            </w: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(286,620)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6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Tangible stockholders’</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2,870,705</w:t>
            </w:r>
          </w:p>
        </w:tc>
        <w:tc>
          <w:tcPr>
            <w:tcW w:w="1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2,839,068</w:t>
            </w:r>
          </w:p>
        </w:tc>
        <w:tc>
          <w:tcPr>
            <w:tcW w:w="1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2,730,269</w:t>
            </w:r>
          </w:p>
        </w:tc>
        <w:tc>
          <w:tcPr>
            <w:tcW w:w="1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2,425,752</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31,637</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140,436</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444,953</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gridSpan w:val="3"/>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equity (non-GAAP)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14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Stockholders’ equity to total</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2140" w:type="dxa"/>
            <w:vAlign w:val="bottom"/>
            <w:gridSpan w:val="4"/>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13.44 %</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13.65 %</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13.18 %</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Tangible stockholders’</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equity to total tangible</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60" w:type="dxa"/>
            <w:vAlign w:val="bottom"/>
            <w:gridSpan w:val="3"/>
            <w:shd w:val="clear" w:color="auto" w:fill="CCEEFF"/>
          </w:tcPr>
          <w:p>
            <w:pPr>
              <w:spacing w:after="0" w:line="237" w:lineRule="exact"/>
              <w:rPr>
                <w:sz w:val="20"/>
                <w:szCs w:val="20"/>
                <w:color w:val="auto"/>
              </w:rPr>
            </w:pPr>
            <w:r>
              <w:rPr>
                <w:rFonts w:ascii="Times New Roman" w:cs="Times New Roman" w:eastAsia="Times New Roman" w:hAnsi="Times New Roman"/>
                <w:sz w:val="18"/>
                <w:szCs w:val="18"/>
                <w:color w:val="auto"/>
              </w:rPr>
              <w:t xml:space="preserve">assets (non-GAAP)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8.95 %</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8.72 %</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Book value per common</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Pr>
          <w:p>
            <w:pPr>
              <w:spacing w:after="0"/>
              <w:rPr>
                <w:sz w:val="21"/>
                <w:szCs w:val="21"/>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tcPr>
          <w:p>
            <w:pPr>
              <w:spacing w:after="0"/>
              <w:rPr>
                <w:sz w:val="21"/>
                <w:szCs w:val="21"/>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32.42</w:t>
            </w:r>
          </w:p>
        </w:tc>
        <w:tc>
          <w:tcPr>
            <w:tcW w:w="120" w:type="dxa"/>
            <w:vAlign w:val="bottom"/>
          </w:tcPr>
          <w:p>
            <w:pPr>
              <w:spacing w:after="0"/>
              <w:rPr>
                <w:sz w:val="21"/>
                <w:szCs w:val="21"/>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Tangible book value per</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common share (non-GAAP)</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21.01</w:t>
            </w: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176"/>
        </w:trPr>
        <w:tc>
          <w:tcPr>
            <w:tcW w:w="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w:t>
            </w: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3" w:lineRule="exact"/>
        <w:rPr>
          <w:sz w:val="20"/>
          <w:szCs w:val="20"/>
          <w:color w:val="auto"/>
        </w:rPr>
      </w:pPr>
    </w:p>
    <w:p>
      <w:pPr>
        <w:ind w:left="180" w:hanging="172"/>
        <w:spacing w:after="0" w:line="220" w:lineRule="auto"/>
        <w:tabs>
          <w:tab w:leader="none" w:pos="106"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Represents a non-GAAP financial measure. Supplemental “Non-GAAP Financial Measures and Reconciliations” tables are provided to reconcile the most directly comparable financial measure calculated and presented in accordance with GAAP.</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Tangible stockholders’ equity of $2.871 billion at September 30, 2026, increased $31.6 million, or 1 percent, compared to the prior quarter, primarily due to earnings retention. Tangible stockholders’ equity at September 30, 2026, increased $445 million, or 18 percent, from the prior year third quarter, primarily due to $560 million of Company stock issued in connection with the Guaranty acquisition and earnings retention. The increase was partially offset by the increase in goodwill and core deposit intangible associated with the Guaranty acquisition. Tangible book value per common share of $22.05 at the current quarter end increased $0.24 per share, or 1 percent, from the prior quarter and increased $1.59 per share, or 8 percent, from the prior year third quarter.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Dividend</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September 22, 2026, the Company’s Board of Directors declared a quarterly cash dividend of $0.35 per share, an increase of $0.02, or 6 percent, over the prior quarter. The dividend was payable on October 15, 2026, to shareholders of record on October 6, 2026. The dividend was the Company’s 166th consecutive regular dividend. Future cash dividends will depend on a variety of factors, including net income, capital, asset quality, general economic conditions and regulatory considerations.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5" w:name="page56"/>
    <w:bookmarkEnd w:id="55"/>
    <w:p>
      <w:pPr>
        <w:ind w:left="3160"/>
        <w:spacing w:after="0"/>
        <w:rPr>
          <w:sz w:val="20"/>
          <w:szCs w:val="20"/>
          <w:color w:val="auto"/>
        </w:rPr>
      </w:pPr>
      <w:r>
        <w:rPr>
          <w:rFonts w:ascii="Times New Roman" w:cs="Times New Roman" w:eastAsia="Times New Roman" w:hAnsi="Times New Roman"/>
          <w:sz w:val="18"/>
          <w:szCs w:val="18"/>
          <w:b w:val="1"/>
          <w:bCs w:val="1"/>
          <w:color w:val="auto"/>
        </w:rPr>
        <w:t>Operating Results for Three Months Ended September 30, 2026</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Compared to June 30, 2026, March 31, 2026, and September 30,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Summary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income for the periods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 Change from</w:t>
            </w:r>
          </w:p>
        </w:tc>
        <w:tc>
          <w:tcPr>
            <w:tcW w:w="9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rPr>
              <w:t>Sep 30,</w:t>
            </w:r>
          </w:p>
        </w:tc>
        <w:tc>
          <w:tcPr>
            <w:tcW w:w="1240" w:type="dxa"/>
            <w:vAlign w:val="bottom"/>
            <w:gridSpan w:val="2"/>
          </w:tcPr>
          <w:p>
            <w:pPr>
              <w:ind w:left="320"/>
              <w:spacing w:after="0" w:line="182" w:lineRule="exact"/>
              <w:rPr>
                <w:sz w:val="20"/>
                <w:szCs w:val="20"/>
                <w:color w:val="auto"/>
              </w:rPr>
            </w:pPr>
            <w:r>
              <w:rPr>
                <w:rFonts w:ascii="Times New Roman" w:cs="Times New Roman" w:eastAsia="Times New Roman" w:hAnsi="Times New Roman"/>
                <w:sz w:val="18"/>
                <w:szCs w:val="18"/>
                <w:color w:val="auto"/>
              </w:rPr>
              <w:t>Jun 30,</w:t>
            </w:r>
          </w:p>
        </w:tc>
        <w:tc>
          <w:tcPr>
            <w:tcW w:w="1220" w:type="dxa"/>
            <w:vAlign w:val="bottom"/>
            <w:gridSpan w:val="2"/>
          </w:tcPr>
          <w:p>
            <w:pPr>
              <w:ind w:left="280"/>
              <w:spacing w:after="0" w:line="182" w:lineRule="exact"/>
              <w:rPr>
                <w:sz w:val="20"/>
                <w:szCs w:val="20"/>
                <w:color w:val="auto"/>
              </w:rPr>
            </w:pPr>
            <w:r>
              <w:rPr>
                <w:rFonts w:ascii="Times New Roman" w:cs="Times New Roman" w:eastAsia="Times New Roman" w:hAnsi="Times New Roman"/>
                <w:sz w:val="18"/>
                <w:szCs w:val="18"/>
                <w:color w:val="auto"/>
              </w:rPr>
              <w:t>Mar 31,</w:t>
            </w:r>
          </w:p>
        </w:tc>
        <w:tc>
          <w:tcPr>
            <w:tcW w:w="1240" w:type="dxa"/>
            <w:vAlign w:val="bottom"/>
            <w:gridSpan w:val="2"/>
          </w:tcPr>
          <w:p>
            <w:pPr>
              <w:ind w:left="300"/>
              <w:spacing w:after="0" w:line="182" w:lineRule="exact"/>
              <w:rPr>
                <w:sz w:val="20"/>
                <w:szCs w:val="20"/>
                <w:color w:val="auto"/>
              </w:rPr>
            </w:pPr>
            <w:r>
              <w:rPr>
                <w:rFonts w:ascii="Times New Roman" w:cs="Times New Roman" w:eastAsia="Times New Roman" w:hAnsi="Times New Roman"/>
                <w:sz w:val="18"/>
                <w:szCs w:val="18"/>
                <w:color w:val="auto"/>
              </w:rPr>
              <w:t>Sep 30,</w:t>
            </w:r>
          </w:p>
        </w:tc>
        <w:tc>
          <w:tcPr>
            <w:tcW w:w="940" w:type="dxa"/>
            <w:vAlign w:val="bottom"/>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rPr>
              <w:t>Jun 30,</w:t>
            </w:r>
          </w:p>
        </w:tc>
        <w:tc>
          <w:tcPr>
            <w:tcW w:w="100" w:type="dxa"/>
            <w:vAlign w:val="bottom"/>
          </w:tcPr>
          <w:p>
            <w:pPr>
              <w:spacing w:after="0"/>
              <w:rPr>
                <w:sz w:val="15"/>
                <w:szCs w:val="15"/>
                <w:color w:val="auto"/>
              </w:rPr>
            </w:pPr>
          </w:p>
        </w:tc>
        <w:tc>
          <w:tcPr>
            <w:tcW w:w="106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w w:val="98"/>
              </w:rPr>
              <w:t>Mar 31,</w:t>
            </w:r>
          </w:p>
        </w:tc>
        <w:tc>
          <w:tcPr>
            <w:tcW w:w="96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Sep 30,</w:t>
            </w:r>
          </w:p>
        </w:tc>
      </w:tr>
      <w:tr>
        <w:trPr>
          <w:trHeight w:val="189"/>
        </w:trPr>
        <w:tc>
          <w:tcPr>
            <w:tcW w:w="20" w:type="dxa"/>
            <w:vAlign w:val="bottom"/>
          </w:tcPr>
          <w:p>
            <w:pPr>
              <w:spacing w:after="0"/>
              <w:rPr>
                <w:sz w:val="16"/>
                <w:szCs w:val="16"/>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92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14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12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12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6"/>
                <w:szCs w:val="16"/>
                <w:color w:val="auto"/>
              </w:rPr>
            </w:pPr>
          </w:p>
        </w:tc>
        <w:tc>
          <w:tcPr>
            <w:tcW w:w="940" w:type="dxa"/>
            <w:vAlign w:val="bottom"/>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6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6"/>
                <w:szCs w:val="16"/>
                <w:color w:val="auto"/>
              </w:rPr>
            </w:pPr>
          </w:p>
        </w:tc>
        <w:tc>
          <w:tcPr>
            <w:tcW w:w="960" w:type="dxa"/>
            <w:vAlign w:val="bottom"/>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3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379,980</w:t>
            </w:r>
          </w:p>
        </w:tc>
        <w:tc>
          <w:tcPr>
            <w:tcW w:w="1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365,220</w:t>
            </w:r>
          </w:p>
        </w:tc>
        <w:tc>
          <w:tcPr>
            <w:tcW w:w="1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362,337</w:t>
            </w:r>
          </w:p>
        </w:tc>
        <w:tc>
          <w:tcPr>
            <w:tcW w:w="1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325,003</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54,977</w:t>
            </w:r>
          </w:p>
        </w:tc>
      </w:tr>
      <w:tr>
        <w:trPr>
          <w:trHeight w:val="243"/>
        </w:trPr>
        <w:tc>
          <w:tcPr>
            <w:tcW w:w="20" w:type="dxa"/>
            <w:vAlign w:val="bottom"/>
            <w:shd w:val="clear" w:color="auto" w:fill="CCEEFF"/>
          </w:tcPr>
          <w:p>
            <w:pPr>
              <w:spacing w:after="0"/>
              <w:rPr>
                <w:sz w:val="21"/>
                <w:szCs w:val="21"/>
                <w:color w:val="auto"/>
              </w:rPr>
            </w:pPr>
          </w:p>
        </w:tc>
        <w:tc>
          <w:tcPr>
            <w:tcW w:w="3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90,084</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88,792</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93,660</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99,624</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w:t>
            </w:r>
          </w:p>
        </w:tc>
      </w:tr>
      <w:tr>
        <w:trPr>
          <w:trHeight w:val="237"/>
        </w:trPr>
        <w:tc>
          <w:tcPr>
            <w:tcW w:w="20" w:type="dxa"/>
            <w:vAlign w:val="bottom"/>
          </w:tcPr>
          <w:p>
            <w:pPr>
              <w:spacing w:after="0"/>
              <w:rPr>
                <w:sz w:val="20"/>
                <w:szCs w:val="20"/>
                <w:color w:val="auto"/>
              </w:rPr>
            </w:pPr>
          </w:p>
        </w:tc>
        <w:tc>
          <w:tcPr>
            <w:tcW w:w="3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net interest income</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289,896</w:t>
            </w:r>
          </w:p>
        </w:tc>
        <w:tc>
          <w:tcPr>
            <w:tcW w:w="10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276,428</w:t>
            </w:r>
          </w:p>
        </w:tc>
        <w:tc>
          <w:tcPr>
            <w:tcW w:w="1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268,677</w:t>
            </w:r>
          </w:p>
        </w:tc>
        <w:tc>
          <w:tcPr>
            <w:tcW w:w="1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225,379</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21,219</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64,517</w:t>
            </w:r>
          </w:p>
        </w:tc>
      </w:tr>
      <w:tr>
        <w:trPr>
          <w:trHeight w:val="243"/>
        </w:trPr>
        <w:tc>
          <w:tcPr>
            <w:tcW w:w="20" w:type="dxa"/>
            <w:vAlign w:val="bottom"/>
            <w:shd w:val="clear" w:color="auto" w:fill="CCEEFF"/>
          </w:tcPr>
          <w:p>
            <w:pPr>
              <w:spacing w:after="0"/>
              <w:rPr>
                <w:sz w:val="21"/>
                <w:szCs w:val="21"/>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Deposit service charges and other fees</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17,187</w:t>
            </w:r>
          </w:p>
        </w:tc>
        <w:tc>
          <w:tcPr>
            <w:tcW w:w="1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16,351</w:t>
            </w:r>
          </w:p>
        </w:tc>
        <w:tc>
          <w:tcPr>
            <w:tcW w:w="1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15,265</w:t>
            </w:r>
          </w:p>
        </w:tc>
        <w:tc>
          <w:tcPr>
            <w:tcW w:w="1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14,676</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r>
      <w:tr>
        <w:trPr>
          <w:trHeight w:val="243"/>
        </w:trPr>
        <w:tc>
          <w:tcPr>
            <w:tcW w:w="20" w:type="dxa"/>
            <w:vAlign w:val="bottom"/>
            <w:shd w:val="clear" w:color="auto" w:fill="CCEEFF"/>
          </w:tcPr>
          <w:p>
            <w:pPr>
              <w:spacing w:after="0"/>
              <w:rPr>
                <w:sz w:val="21"/>
                <w:szCs w:val="21"/>
                <w:color w:val="auto"/>
              </w:rPr>
            </w:pPr>
          </w:p>
        </w:tc>
        <w:tc>
          <w:tcPr>
            <w:tcW w:w="3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services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12,081</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12,012</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11,368</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10,951</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43"/>
        </w:trPr>
        <w:tc>
          <w:tcPr>
            <w:tcW w:w="20" w:type="dxa"/>
            <w:vAlign w:val="bottom"/>
          </w:tcPr>
          <w:p>
            <w:pPr>
              <w:spacing w:after="0"/>
              <w:rPr>
                <w:sz w:val="21"/>
                <w:szCs w:val="21"/>
                <w:color w:val="auto"/>
              </w:rPr>
            </w:pPr>
          </w:p>
        </w:tc>
        <w:tc>
          <w:tcPr>
            <w:tcW w:w="3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Miscellaneous loan fees and charges</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43"/>
        </w:trPr>
        <w:tc>
          <w:tcPr>
            <w:tcW w:w="20" w:type="dxa"/>
            <w:vAlign w:val="bottom"/>
            <w:shd w:val="clear" w:color="auto" w:fill="CCEEFF"/>
          </w:tcPr>
          <w:p>
            <w:pPr>
              <w:spacing w:after="0"/>
              <w:rPr>
                <w:sz w:val="21"/>
                <w:szCs w:val="21"/>
                <w:color w:val="auto"/>
              </w:rPr>
            </w:pPr>
          </w:p>
        </w:tc>
        <w:tc>
          <w:tcPr>
            <w:tcW w:w="3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loans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4,754</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5,007</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5,108</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5,027</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43"/>
        </w:trPr>
        <w:tc>
          <w:tcPr>
            <w:tcW w:w="20" w:type="dxa"/>
            <w:vAlign w:val="bottom"/>
            <w:tcBorders>
              <w:bottom w:val="single" w:sz="8" w:color="CCEEFF"/>
            </w:tcBorders>
          </w:tcPr>
          <w:p>
            <w:pPr>
              <w:spacing w:after="0"/>
              <w:rPr>
                <w:sz w:val="21"/>
                <w:szCs w:val="21"/>
                <w:color w:val="auto"/>
              </w:rPr>
            </w:pPr>
          </w:p>
        </w:tc>
        <w:tc>
          <w:tcPr>
            <w:tcW w:w="32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3,334</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2,693</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36"/>
        </w:trPr>
        <w:tc>
          <w:tcPr>
            <w:tcW w:w="20" w:type="dxa"/>
            <w:vAlign w:val="bottom"/>
            <w:shd w:val="clear" w:color="auto" w:fill="CCEEFF"/>
          </w:tcPr>
          <w:p>
            <w:pPr>
              <w:spacing w:after="0"/>
              <w:rPr>
                <w:sz w:val="20"/>
                <w:szCs w:val="20"/>
                <w:color w:val="auto"/>
              </w:rPr>
            </w:pPr>
          </w:p>
        </w:tc>
        <w:tc>
          <w:tcPr>
            <w:tcW w:w="32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39,941</w:t>
            </w:r>
          </w:p>
        </w:tc>
        <w:tc>
          <w:tcPr>
            <w:tcW w:w="100" w:type="dxa"/>
            <w:vAlign w:val="bottom"/>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41,101</w:t>
            </w:r>
          </w:p>
        </w:tc>
        <w:tc>
          <w:tcPr>
            <w:tcW w:w="10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38,082</w:t>
            </w:r>
          </w:p>
        </w:tc>
        <w:tc>
          <w:tcPr>
            <w:tcW w:w="10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35,352</w:t>
            </w:r>
          </w:p>
        </w:tc>
        <w:tc>
          <w:tcPr>
            <w:tcW w:w="12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r>
      <w:tr>
        <w:trPr>
          <w:trHeight w:val="237"/>
        </w:trPr>
        <w:tc>
          <w:tcPr>
            <w:tcW w:w="20" w:type="dxa"/>
            <w:vAlign w:val="bottom"/>
          </w:tcPr>
          <w:p>
            <w:pPr>
              <w:spacing w:after="0"/>
              <w:rPr>
                <w:sz w:val="20"/>
                <w:szCs w:val="20"/>
                <w:color w:val="auto"/>
              </w:rPr>
            </w:pPr>
          </w:p>
        </w:tc>
        <w:tc>
          <w:tcPr>
            <w:tcW w:w="3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329,837</w:t>
            </w:r>
          </w:p>
        </w:tc>
        <w:tc>
          <w:tcPr>
            <w:tcW w:w="10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317,529</w:t>
            </w:r>
          </w:p>
        </w:tc>
        <w:tc>
          <w:tcPr>
            <w:tcW w:w="1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306,759</w:t>
            </w:r>
          </w:p>
        </w:tc>
        <w:tc>
          <w:tcPr>
            <w:tcW w:w="1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260,731</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23,078</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margin (tax-equivalent)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3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Core net interest margin (tax-equivalent)</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12"/>
        </w:trPr>
        <w:tc>
          <w:tcPr>
            <w:tcW w:w="20" w:type="dxa"/>
            <w:vAlign w:val="bottom"/>
          </w:tcPr>
          <w:p>
            <w:pPr>
              <w:spacing w:after="0"/>
              <w:rPr>
                <w:sz w:val="24"/>
                <w:szCs w:val="24"/>
                <w:color w:val="auto"/>
              </w:rPr>
            </w:pPr>
          </w:p>
        </w:tc>
        <w:tc>
          <w:tcPr>
            <w:tcW w:w="3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(non-GAAP)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3" w:lineRule="exact"/>
        <w:rPr>
          <w:sz w:val="20"/>
          <w:szCs w:val="20"/>
          <w:color w:val="auto"/>
        </w:rPr>
      </w:pPr>
    </w:p>
    <w:p>
      <w:pPr>
        <w:ind w:left="180" w:hanging="172"/>
        <w:spacing w:after="0" w:line="227" w:lineRule="auto"/>
        <w:tabs>
          <w:tab w:leader="none" w:pos="106"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Represents a non-GAAP financial measure. Supplemental “Non-GAAP Financial Measures and Reconciliations” tables are provided to reconcile the most directly comparable financial measure calculated and presented in accordance with GAAP.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interest income of $290 million for the current quarter increased $13.5 million, or 5 percent, from the prior quarter net interest income of $276 million and increased $64.5 million, or 29 percent, from the prior year third quarter net interest income of $225 million. The current quarter interest income of $380 million increased $14.8 million, or 4 percent, over the prior quarter and increased $55.0 million, or 17 percent, over the prior year third quarter and was primarily driven by both increased loans and increased interest rates on the loan portfolio. The loan yield of 6.22 percent in the current quarter increased 10 basis points from the prior quarter loan yield of 6.12 percent and increased 25 basis points from the prior year third quarter loan yield of 5.97 percent.</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current quarter interest expense of $90.1 million increased $1.3 million, or 1 percent, from the prior quarter. Interest expense decreased $9.5 million, or 10 percent, from the prior year third quarter, primarily due to a decrease in interest rates on deposits and a decrease in high cost borrowings. Core deposit cost (including non-interest bearing deposits) decreased to 1.17 percent in the current quarter compared to 1.18 percent in the prior quarter and 1.23 percent in the prior year third quarter. The total funding cost (including non-interest bearing deposits) decreased to 1.32 percent in the current quarter compared to 1.33 percent in the prior quarter and 1.58 percent in the prior year third quarter.</w:t>
      </w:r>
    </w:p>
    <w:p>
      <w:pPr>
        <w:spacing w:after="0" w:line="1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net interest margin as a percentage of earning assets, on a tax-equivalent basis, for the current quarter was 4.01 percent, an increase of 11 basis points from the prior quarter net interest margin of 3.90 percent and was primarily driven by an increase in earning asset yields and a decrease in deposit costs. The net interest margin as a percentage of earning assets, on a tax-equivalent basis, for the current quarter increased 62 basis points from the prior year third quarter net interest margin of 3.39 percent and was primarily driven by the increase in loan yields, the shift in the earning assets mix to higher yielding loans and the decrease in high cost borrowings. Core net interest margin was 3.95 percent in the current quarter compared to 3.86 percent in the prior quarter and 3.35 percent in the prior year third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Non-interest income for the current quarter totaled $39.9 million, which was a decrease of $1.2 million, or 3 percent, over the prior quarter. Non-interest income increased $4.6 million, or 13 percent, over the prior year third quarter. Deposit service charges and other fees of $17.2 million for the current quarter increased $836 thousand, or 5 percent, compared to the prior quarter and increased $2.5 million, or 17 percent, from the prior year third quarter. Payment services of $12.1 million for the current quarter increased $69 thousand, or 1 percent, from the prior quarter and increased $1.1 million, or 10 percent, over the prior year third quarter.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non-interest expense for the periods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Three Months ended</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 Change from</w:t>
            </w:r>
          </w:p>
        </w:tc>
        <w:tc>
          <w:tcPr>
            <w:tcW w:w="10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color w:val="auto"/>
              </w:rPr>
              <w:t>Sep 30,</w:t>
            </w:r>
          </w:p>
        </w:tc>
        <w:tc>
          <w:tcPr>
            <w:tcW w:w="1120" w:type="dxa"/>
            <w:vAlign w:val="bottom"/>
            <w:gridSpan w:val="2"/>
          </w:tcPr>
          <w:p>
            <w:pPr>
              <w:ind w:left="240"/>
              <w:spacing w:after="0" w:line="182" w:lineRule="exact"/>
              <w:rPr>
                <w:sz w:val="20"/>
                <w:szCs w:val="20"/>
                <w:color w:val="auto"/>
              </w:rPr>
            </w:pPr>
            <w:r>
              <w:rPr>
                <w:rFonts w:ascii="Times New Roman" w:cs="Times New Roman" w:eastAsia="Times New Roman" w:hAnsi="Times New Roman"/>
                <w:sz w:val="18"/>
                <w:szCs w:val="18"/>
                <w:color w:val="auto"/>
              </w:rPr>
              <w:t>Jun 30,</w:t>
            </w:r>
          </w:p>
        </w:tc>
        <w:tc>
          <w:tcPr>
            <w:tcW w:w="110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color w:val="auto"/>
              </w:rPr>
              <w:t>Mar 31,</w:t>
            </w:r>
          </w:p>
        </w:tc>
        <w:tc>
          <w:tcPr>
            <w:tcW w:w="1100" w:type="dxa"/>
            <w:vAlign w:val="bottom"/>
            <w:gridSpan w:val="2"/>
          </w:tcPr>
          <w:p>
            <w:pPr>
              <w:ind w:left="220"/>
              <w:spacing w:after="0" w:line="182" w:lineRule="exact"/>
              <w:rPr>
                <w:sz w:val="20"/>
                <w:szCs w:val="20"/>
                <w:color w:val="auto"/>
              </w:rPr>
            </w:pPr>
            <w:r>
              <w:rPr>
                <w:rFonts w:ascii="Times New Roman" w:cs="Times New Roman" w:eastAsia="Times New Roman" w:hAnsi="Times New Roman"/>
                <w:sz w:val="18"/>
                <w:szCs w:val="18"/>
                <w:color w:val="auto"/>
              </w:rPr>
              <w:t>Sep 30,</w:t>
            </w:r>
          </w:p>
        </w:tc>
        <w:tc>
          <w:tcPr>
            <w:tcW w:w="100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Jun 30,</w:t>
            </w:r>
          </w:p>
        </w:tc>
        <w:tc>
          <w:tcPr>
            <w:tcW w:w="120" w:type="dxa"/>
            <w:vAlign w:val="bottom"/>
          </w:tcPr>
          <w:p>
            <w:pPr>
              <w:spacing w:after="0"/>
              <w:rPr>
                <w:sz w:val="15"/>
                <w:szCs w:val="15"/>
                <w:color w:val="auto"/>
              </w:rPr>
            </w:pPr>
          </w:p>
        </w:tc>
        <w:tc>
          <w:tcPr>
            <w:tcW w:w="110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8"/>
                <w:szCs w:val="18"/>
                <w:color w:val="auto"/>
              </w:rPr>
              <w:t>Mar 31,</w:t>
            </w:r>
          </w:p>
        </w:tc>
        <w:tc>
          <w:tcPr>
            <w:tcW w:w="1000" w:type="dxa"/>
            <w:vAlign w:val="bottom"/>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rPr>
              <w:t>Sep 30,</w:t>
            </w:r>
          </w:p>
        </w:tc>
      </w:tr>
      <w:tr>
        <w:trPr>
          <w:trHeight w:val="189"/>
        </w:trPr>
        <w:tc>
          <w:tcPr>
            <w:tcW w:w="20" w:type="dxa"/>
            <w:vAlign w:val="bottom"/>
          </w:tcPr>
          <w:p>
            <w:pPr>
              <w:spacing w:after="0"/>
              <w:rPr>
                <w:sz w:val="16"/>
                <w:szCs w:val="16"/>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6"/>
                <w:szCs w:val="16"/>
                <w:color w:val="auto"/>
              </w:rPr>
            </w:pPr>
          </w:p>
        </w:tc>
        <w:tc>
          <w:tcPr>
            <w:tcW w:w="840" w:type="dxa"/>
            <w:vAlign w:val="bottom"/>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000" w:type="dxa"/>
            <w:vAlign w:val="bottom"/>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6"/>
                <w:szCs w:val="16"/>
                <w:color w:val="auto"/>
              </w:rPr>
            </w:pPr>
          </w:p>
        </w:tc>
        <w:tc>
          <w:tcPr>
            <w:tcW w:w="1000" w:type="dxa"/>
            <w:vAlign w:val="bottom"/>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000" w:type="dxa"/>
            <w:vAlign w:val="bottom"/>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6"/>
                <w:szCs w:val="16"/>
                <w:color w:val="auto"/>
              </w:rPr>
            </w:pPr>
          </w:p>
        </w:tc>
        <w:tc>
          <w:tcPr>
            <w:tcW w:w="1000" w:type="dxa"/>
            <w:vAlign w:val="bottom"/>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12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6"/>
                <w:szCs w:val="16"/>
                <w:color w:val="auto"/>
              </w:rPr>
            </w:pPr>
          </w:p>
        </w:tc>
        <w:tc>
          <w:tcPr>
            <w:tcW w:w="1000" w:type="dxa"/>
            <w:vAlign w:val="bottom"/>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116,299</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115,770</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96,498</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24,163</w:t>
            </w:r>
          </w:p>
        </w:tc>
      </w:tr>
      <w:tr>
        <w:trPr>
          <w:trHeight w:val="243"/>
        </w:trPr>
        <w:tc>
          <w:tcPr>
            <w:tcW w:w="20" w:type="dxa"/>
            <w:vAlign w:val="bottom"/>
          </w:tcPr>
          <w:p>
            <w:pPr>
              <w:spacing w:after="0"/>
              <w:rPr>
                <w:sz w:val="21"/>
                <w:szCs w:val="21"/>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Occupancy and equipment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16,072</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15,661</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15,682</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r>
      <w:tr>
        <w:trPr>
          <w:trHeight w:val="243"/>
        </w:trPr>
        <w:tc>
          <w:tcPr>
            <w:tcW w:w="2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promotions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43"/>
        </w:trPr>
        <w:tc>
          <w:tcPr>
            <w:tcW w:w="20" w:type="dxa"/>
            <w:vAlign w:val="bottom"/>
          </w:tcPr>
          <w:p>
            <w:pPr>
              <w:spacing w:after="0"/>
              <w:rPr>
                <w:sz w:val="21"/>
                <w:szCs w:val="21"/>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processing</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43"/>
        </w:trPr>
        <w:tc>
          <w:tcPr>
            <w:tcW w:w="2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 owned and foreclosed assets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20" w:type="dxa"/>
            <w:vAlign w:val="bottom"/>
          </w:tcPr>
          <w:p>
            <w:pPr>
              <w:spacing w:after="0"/>
              <w:rPr>
                <w:sz w:val="21"/>
                <w:szCs w:val="21"/>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assessments and insurance</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43"/>
        </w:trPr>
        <w:tc>
          <w:tcPr>
            <w:tcW w:w="2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amortization</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43"/>
        </w:trPr>
        <w:tc>
          <w:tcPr>
            <w:tcW w:w="20" w:type="dxa"/>
            <w:vAlign w:val="bottom"/>
            <w:tcBorders>
              <w:bottom w:val="single" w:sz="8" w:color="CCEEFF"/>
            </w:tcBorders>
          </w:tcPr>
          <w:p>
            <w:pPr>
              <w:spacing w:after="0"/>
              <w:rPr>
                <w:sz w:val="21"/>
                <w:szCs w:val="21"/>
                <w:color w:val="auto"/>
              </w:rPr>
            </w:pPr>
          </w:p>
        </w:tc>
        <w:tc>
          <w:tcPr>
            <w:tcW w:w="3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27,876</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26,880</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39,140</w:t>
            </w: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33,120</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w:t>
            </w:r>
          </w:p>
        </w:tc>
      </w:tr>
      <w:tr>
        <w:trPr>
          <w:trHeight w:val="257"/>
        </w:trPr>
        <w:tc>
          <w:tcPr>
            <w:tcW w:w="20" w:type="dxa"/>
            <w:vAlign w:val="bottom"/>
            <w:shd w:val="clear" w:color="auto" w:fill="CCEEFF"/>
          </w:tcPr>
          <w:p>
            <w:pPr>
              <w:spacing w:after="0"/>
              <w:rPr>
                <w:sz w:val="22"/>
                <w:szCs w:val="22"/>
                <w:color w:val="auto"/>
              </w:rPr>
            </w:pPr>
          </w:p>
        </w:tc>
        <w:tc>
          <w:tcPr>
            <w:tcW w:w="3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191,884</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200,529</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167,783</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non-interest expense of $192 million for the current quarter increased $5.2 million, or 3 percent, over the prior quarter. Total non-interest expense increased $24.1 million, or 14 percent, over the prior year third quarter and was primarily driven by increased costs from the acquired banks.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and employee benefits of $121 million for the current quarter increased by $4.4 million, or 4 percent, over the prior quarter, primarily due to increased performance-based compensation. Compensation and employee benefits increased $24.2 million, or 25 percent, from the prior year third quarter and was primarily driven by annual salary increases and increases in staffing levels from the acquired banks. Other expenses of $27.9 million decreased $5.2 million, or 16 percent, from the prior year third quarter and was primarily driven by $6.9 million of decreased acquisition-related expenses.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Acquisition-related expense was $92 thousand in the current quarter compared to $1.6 million in the prior quarter and $7.0 million in the prior year third quarter. In addition, compensation and employee benefits included $1.9 million of expense attributable to acquisition-related employment agreements in the current quarter compared to $2.5 million in the prior quarter and $641 thousand in the prior year third quarter.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Efficiency Ratio</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efficiency ratio was 56.08 percent in the current quarter compared to 56.65 percent in the prior quarter and 62.05 percent in the prior year third quarter. The decrease from the prior quarter and prior year third quarter was primarily driven by an increase in net interest income which outpaced the increase in non-interest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Provision for Credit Losses for Loans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summarizes provision for credit losses for loans, net charge-offs and select ratios relating to provision for credit losses for the previous eight quarters:</w:t>
      </w: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00"/>
              <w:spacing w:after="0" w:line="200" w:lineRule="exact"/>
              <w:rPr>
                <w:sz w:val="20"/>
                <w:szCs w:val="20"/>
                <w:color w:val="auto"/>
              </w:rPr>
            </w:pPr>
            <w:r>
              <w:rPr>
                <w:rFonts w:ascii="Times New Roman" w:cs="Times New Roman" w:eastAsia="Times New Roman" w:hAnsi="Times New Roman"/>
                <w:sz w:val="18"/>
                <w:szCs w:val="18"/>
                <w:color w:val="auto"/>
              </w:rPr>
              <w:t>Accruing</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9"/>
              </w:rPr>
              <w:t>Provision for</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rPr>
              <w:t>Allowance for</w:t>
            </w:r>
          </w:p>
        </w:tc>
        <w:tc>
          <w:tcPr>
            <w:tcW w:w="166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w w:val="99"/>
              </w:rPr>
              <w:t>Loans 30-89</w:t>
            </w:r>
          </w:p>
        </w:tc>
        <w:tc>
          <w:tcPr>
            <w:tcW w:w="1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Non-Performing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Credit Losses</w:t>
            </w:r>
          </w:p>
        </w:tc>
        <w:tc>
          <w:tcPr>
            <w:tcW w:w="16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Days Past Due</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Assets to</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8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Credit Losses on</w:t>
            </w:r>
          </w:p>
        </w:tc>
        <w:tc>
          <w:tcPr>
            <w:tcW w:w="1500" w:type="dxa"/>
            <w:vAlign w:val="bottom"/>
            <w:gridSpan w:val="3"/>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9"/>
              </w:rPr>
              <w:t>Net Charge-Offs</w:t>
            </w:r>
          </w:p>
        </w:tc>
        <w:tc>
          <w:tcPr>
            <w:tcW w:w="16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as a Percent</w:t>
            </w:r>
          </w:p>
        </w:tc>
        <w:tc>
          <w:tcPr>
            <w:tcW w:w="166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rPr>
              <w:t>as a Percent of</w:t>
            </w:r>
          </w:p>
        </w:tc>
        <w:tc>
          <w:tcPr>
            <w:tcW w:w="1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Total Sub-sidiary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8"/>
                <w:szCs w:val="18"/>
                <w:color w:val="auto"/>
                <w:w w:val="99"/>
              </w:rPr>
              <w:t>Loans</w:t>
            </w:r>
          </w:p>
        </w:tc>
        <w:tc>
          <w:tcPr>
            <w:tcW w:w="160" w:type="dxa"/>
            <w:vAlign w:val="bottom"/>
          </w:tcPr>
          <w:p>
            <w:pPr>
              <w:spacing w:after="0"/>
              <w:rPr>
                <w:sz w:val="15"/>
                <w:szCs w:val="15"/>
                <w:color w:val="auto"/>
              </w:rPr>
            </w:pPr>
          </w:p>
        </w:tc>
        <w:tc>
          <w:tcPr>
            <w:tcW w:w="134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8"/>
                <w:szCs w:val="18"/>
                <w:color w:val="auto"/>
                <w:w w:val="97"/>
              </w:rPr>
              <w:t>(Recoveries)</w:t>
            </w:r>
          </w:p>
        </w:tc>
        <w:tc>
          <w:tcPr>
            <w:tcW w:w="164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8"/>
                <w:szCs w:val="18"/>
                <w:color w:val="auto"/>
              </w:rPr>
              <w:t>of Loans</w:t>
            </w:r>
          </w:p>
        </w:tc>
        <w:tc>
          <w:tcPr>
            <w:tcW w:w="166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8"/>
                <w:szCs w:val="18"/>
                <w:color w:val="auto"/>
                <w:w w:val="99"/>
              </w:rPr>
              <w:t>Loans</w:t>
            </w:r>
          </w:p>
        </w:tc>
        <w:tc>
          <w:tcPr>
            <w:tcW w:w="15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7"/>
              </w:rPr>
              <w:t>Assets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 2026</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2026</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0.44 %</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 2025</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2025</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0.21 %</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 2025</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2025</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0.27 %</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 2024</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charge-offs for the current quarter were $6.0 million compared to $5.9 million in the prior quarter and $2.9 million for the prior year third quarter. The current quarter net charge-offs included $3.5 million in deposit overdraft net charge-offs and $2.5 million of net loan charge-offs.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quarter provision for credit loss expense of $5.1 million included $5.6 million of credit loss expense on loans and $534 thousand of credit loss benefit on unfunded loan commitments.</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allowance for credit losses (“ACL”) on loans as a percentage of total loans outstanding was 1.20 percent at September 30, 2026, compared to 1.22 percent at each of June 30, 2026, December 31, 2025, and September 30, 2025. Loan portfolio growth, composition, credit quality considerations, economic forecasts, actual results, and other environmental factors will continue to determine the level of the ACL on loans. The determination of the ACL on loans and the related provision for credit losses is a critical accounting estimate that involves management’s judgments about the loan portfolio that impact credit losses. For additional information on the allowance, see the Allowance For Credit Losses section under “Additional 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8" w:name="page59"/>
    <w:bookmarkEnd w:id="5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Operating Results for Nine Months ended September 30,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Compared to September 30,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Summary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income for the periods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Nine Months ended</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color w:val="auto"/>
              </w:rPr>
              <w:t>Sep 30,</w:t>
            </w:r>
          </w:p>
        </w:tc>
        <w:tc>
          <w:tcPr>
            <w:tcW w:w="1640" w:type="dxa"/>
            <w:vAlign w:val="bottom"/>
            <w:gridSpan w:val="2"/>
          </w:tcPr>
          <w:p>
            <w:pPr>
              <w:ind w:left="500"/>
              <w:spacing w:after="0" w:line="182" w:lineRule="exact"/>
              <w:rPr>
                <w:sz w:val="20"/>
                <w:szCs w:val="20"/>
                <w:color w:val="auto"/>
              </w:rPr>
            </w:pPr>
            <w:r>
              <w:rPr>
                <w:rFonts w:ascii="Times New Roman" w:cs="Times New Roman" w:eastAsia="Times New Roman" w:hAnsi="Times New Roman"/>
                <w:sz w:val="18"/>
                <w:szCs w:val="18"/>
                <w:color w:val="auto"/>
              </w:rPr>
              <w:t>Sep 30,</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Pr>
          <w:p>
            <w:pPr>
              <w:spacing w:after="0"/>
              <w:rPr>
                <w:sz w:val="16"/>
                <w:szCs w:val="16"/>
                <w:color w:val="auto"/>
              </w:rPr>
            </w:pPr>
          </w:p>
        </w:tc>
        <w:tc>
          <w:tcPr>
            <w:tcW w:w="1240" w:type="dxa"/>
            <w:vAlign w:val="bottom"/>
          </w:tcPr>
          <w:p>
            <w:pPr>
              <w:jc w:val="right"/>
              <w:ind w:right="490"/>
              <w:spacing w:after="0" w:line="16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520" w:type="dxa"/>
            <w:vAlign w:val="bottom"/>
          </w:tcPr>
          <w:p>
            <w:pPr>
              <w:jc w:val="right"/>
              <w:ind w:right="490"/>
              <w:spacing w:after="0" w:line="169" w:lineRule="exact"/>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6"/>
                <w:szCs w:val="16"/>
                <w:color w:val="auto"/>
              </w:rPr>
            </w:pPr>
          </w:p>
        </w:tc>
        <w:tc>
          <w:tcPr>
            <w:tcW w:w="136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 Change</w:t>
            </w:r>
          </w:p>
        </w:tc>
        <w:tc>
          <w:tcPr>
            <w:tcW w:w="100" w:type="dxa"/>
            <w:vAlign w:val="bottom"/>
          </w:tcPr>
          <w:p>
            <w:pPr>
              <w:spacing w:after="0"/>
              <w:rPr>
                <w:sz w:val="16"/>
                <w:szCs w:val="16"/>
                <w:color w:val="auto"/>
              </w:rPr>
            </w:pPr>
          </w:p>
        </w:tc>
        <w:tc>
          <w:tcPr>
            <w:tcW w:w="152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 Change</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4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1,107,537</w:t>
            </w:r>
          </w:p>
        </w:tc>
        <w:tc>
          <w:tcPr>
            <w:tcW w:w="1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923,043</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184,494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3"/>
        </w:trPr>
        <w:tc>
          <w:tcPr>
            <w:tcW w:w="20" w:type="dxa"/>
            <w:vAlign w:val="bottom"/>
            <w:shd w:val="clear" w:color="auto" w:fill="CCEEFF"/>
          </w:tcPr>
          <w:p>
            <w:pPr>
              <w:spacing w:after="0"/>
              <w:rPr>
                <w:sz w:val="21"/>
                <w:szCs w:val="21"/>
                <w:color w:val="auto"/>
              </w:rPr>
            </w:pPr>
          </w:p>
        </w:tc>
        <w:tc>
          <w:tcPr>
            <w:tcW w:w="4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272,536</w:t>
            </w:r>
          </w:p>
        </w:tc>
        <w:tc>
          <w:tcPr>
            <w:tcW w:w="10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300,069</w:t>
            </w:r>
          </w:p>
        </w:tc>
        <w:tc>
          <w:tcPr>
            <w:tcW w:w="12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(27,533)</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20" w:type="dxa"/>
            <w:vAlign w:val="bottom"/>
          </w:tcPr>
          <w:p>
            <w:pPr>
              <w:spacing w:after="0"/>
              <w:rPr>
                <w:sz w:val="20"/>
                <w:szCs w:val="20"/>
                <w:color w:val="auto"/>
              </w:rPr>
            </w:pPr>
          </w:p>
        </w:tc>
        <w:tc>
          <w:tcPr>
            <w:tcW w:w="4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net interest income</w:t>
            </w:r>
          </w:p>
        </w:tc>
        <w:tc>
          <w:tcPr>
            <w:tcW w:w="30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835,001</w:t>
            </w:r>
          </w:p>
        </w:tc>
        <w:tc>
          <w:tcPr>
            <w:tcW w:w="10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622,974</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212,027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43"/>
        </w:trPr>
        <w:tc>
          <w:tcPr>
            <w:tcW w:w="20" w:type="dxa"/>
            <w:vAlign w:val="bottom"/>
            <w:shd w:val="clear" w:color="auto" w:fill="CCEEFF"/>
          </w:tcPr>
          <w:p>
            <w:pPr>
              <w:spacing w:after="0"/>
              <w:rPr>
                <w:sz w:val="21"/>
                <w:szCs w:val="21"/>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Deposit service charges and other fees</w:t>
            </w:r>
          </w:p>
        </w:tc>
        <w:tc>
          <w:tcPr>
            <w:tcW w:w="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48,803</w:t>
            </w:r>
          </w:p>
        </w:tc>
        <w:tc>
          <w:tcPr>
            <w:tcW w:w="1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41,801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20" w:type="dxa"/>
            <w:vAlign w:val="bottom"/>
            <w:shd w:val="clear" w:color="auto" w:fill="CCEEFF"/>
          </w:tcPr>
          <w:p>
            <w:pPr>
              <w:spacing w:after="0"/>
              <w:rPr>
                <w:sz w:val="21"/>
                <w:szCs w:val="21"/>
                <w:color w:val="auto"/>
              </w:rPr>
            </w:pPr>
          </w:p>
        </w:tc>
        <w:tc>
          <w:tcPr>
            <w:tcW w:w="4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services</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35,461</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30,736</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20" w:type="dxa"/>
            <w:vAlign w:val="bottom"/>
          </w:tcPr>
          <w:p>
            <w:pPr>
              <w:spacing w:after="0"/>
              <w:rPr>
                <w:sz w:val="21"/>
                <w:szCs w:val="21"/>
                <w:color w:val="auto"/>
              </w:rPr>
            </w:pPr>
          </w:p>
        </w:tc>
        <w:tc>
          <w:tcPr>
            <w:tcW w:w="4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Miscellaneous loan fees and charges</w:t>
            </w:r>
          </w:p>
        </w:tc>
        <w:tc>
          <w:tcPr>
            <w:tcW w:w="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7,422</w:t>
            </w:r>
          </w:p>
        </w:tc>
        <w:tc>
          <w:tcPr>
            <w:tcW w:w="1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5,586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43"/>
        </w:trPr>
        <w:tc>
          <w:tcPr>
            <w:tcW w:w="20" w:type="dxa"/>
            <w:vAlign w:val="bottom"/>
            <w:shd w:val="clear" w:color="auto" w:fill="CCEEFF"/>
          </w:tcPr>
          <w:p>
            <w:pPr>
              <w:spacing w:after="0"/>
              <w:rPr>
                <w:sz w:val="21"/>
                <w:szCs w:val="21"/>
                <w:color w:val="auto"/>
              </w:rPr>
            </w:pPr>
          </w:p>
        </w:tc>
        <w:tc>
          <w:tcPr>
            <w:tcW w:w="4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loans</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14,869</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13,611</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3"/>
        </w:trPr>
        <w:tc>
          <w:tcPr>
            <w:tcW w:w="20" w:type="dxa"/>
            <w:vAlign w:val="bottom"/>
            <w:tcBorders>
              <w:bottom w:val="single" w:sz="8" w:color="CCEEFF"/>
            </w:tcBorders>
          </w:tcPr>
          <w:p>
            <w:pPr>
              <w:spacing w:after="0"/>
              <w:rPr>
                <w:sz w:val="21"/>
                <w:szCs w:val="21"/>
                <w:color w:val="auto"/>
              </w:rPr>
            </w:pPr>
          </w:p>
        </w:tc>
        <w:tc>
          <w:tcPr>
            <w:tcW w:w="49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12,569</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9,204</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6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7"/>
        </w:trPr>
        <w:tc>
          <w:tcPr>
            <w:tcW w:w="20" w:type="dxa"/>
            <w:vAlign w:val="bottom"/>
            <w:shd w:val="clear" w:color="auto" w:fill="CCEEFF"/>
          </w:tcPr>
          <w:p>
            <w:pPr>
              <w:spacing w:after="0"/>
              <w:rPr>
                <w:sz w:val="20"/>
                <w:szCs w:val="20"/>
                <w:color w:val="auto"/>
              </w:rPr>
            </w:pPr>
          </w:p>
        </w:tc>
        <w:tc>
          <w:tcPr>
            <w:tcW w:w="4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119,124</w:t>
            </w:r>
          </w:p>
        </w:tc>
        <w:tc>
          <w:tcPr>
            <w:tcW w:w="100" w:type="dxa"/>
            <w:vAlign w:val="bottom"/>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100,938</w:t>
            </w:r>
          </w:p>
        </w:tc>
        <w:tc>
          <w:tcPr>
            <w:tcW w:w="120" w:type="dxa"/>
            <w:vAlign w:val="bottom"/>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18,186</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7"/>
        </w:trPr>
        <w:tc>
          <w:tcPr>
            <w:tcW w:w="20" w:type="dxa"/>
            <w:vAlign w:val="bottom"/>
          </w:tcPr>
          <w:p>
            <w:pPr>
              <w:spacing w:after="0"/>
              <w:rPr>
                <w:sz w:val="20"/>
                <w:szCs w:val="20"/>
                <w:color w:val="auto"/>
              </w:rPr>
            </w:pPr>
          </w:p>
        </w:tc>
        <w:tc>
          <w:tcPr>
            <w:tcW w:w="4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954,125</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723,912</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230,213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margin (tax-equivalent)</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312"/>
        </w:trPr>
        <w:tc>
          <w:tcPr>
            <w:tcW w:w="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Core net interest margin (tax-equivalent) (non-GAAP)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3" w:lineRule="exact"/>
        <w:rPr>
          <w:sz w:val="20"/>
          <w:szCs w:val="20"/>
          <w:color w:val="auto"/>
        </w:rPr>
      </w:pPr>
    </w:p>
    <w:p>
      <w:pPr>
        <w:ind w:left="180" w:hanging="172"/>
        <w:spacing w:after="0" w:line="227" w:lineRule="auto"/>
        <w:tabs>
          <w:tab w:leader="none" w:pos="106"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Represents a non-GAAP financial measure. Supplemental “Non-GAAP Financial Measures and Reconciliations” tables are provided to reconcile the most directly comparable financial measure calculated and presented in accordance with GAAP.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interest income of $835 million for the first nine months of 2026 increased $212 million, or 34 percent, from the first nine months of the prior year and was primarily driven by increased interest income and decreased interest expense. Interest income of $1.108 billion for the first nine months of 2026 increased $184 million, or 20 percent, from the prior year and was primarily attributable to the increase in the loan portfolio and an increase in loan yields. The loan yield was 6.17 percent during the first nine months of 2026, an increase of 30 basis points from the prior year first nine months loan yield of 5.87 percent.</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of $273 million for the first nine months of 2026 decreased $27.5 million, or 9 percent, over the same period in the prior year and was primarily the result of lower interest rates on deposits and a decrease in higher cost borrowings. Core deposit cost (including non-interest bearing deposits) was 1.18 percent for the first nine months of 2026, which was a decrease of 6 basis points over the first nine months of the prior year core deposit cost of 1.24 percent. The total funding cost (including non-interest bearing deposits) for the first nine months of 2026 was 1.35 percent, which was a decrease of 28 basis points over the first nine months of the prior year funding cost of 1.63 percent.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net interest margin as a percentage of earning assets, on a tax-equivalent basis, during the first nine months of 2026 was 3.90 percent, a 69 basis points increase from the net interest margin of 3.21 percent for the first nine months of the prior year. Core net interest margin during the first nine months of 2026 was 3.85 percent compared to 3.17 percent in the prior year first nine months. The increase in net interest margin from the prior year was primarily driven by a 30 basis points increase in loan yields and a 28 basis points decrease in total funding costs, combined with a shift in earning asset mix to higher yielding loans and a shift in funding liabilities to lower cost deposits.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Non-interest income of $119 million for the first nine months of 2026 increased $18.2 million, or 18 percent, over the first nine months of the prior year and was primarily driven by increased income from acquired banks. Deposit service charges and other fees of $48.8 million for the first nine months of 2026 increased $7.0 million, or 17 percent, over the first nine months of the prior year. Payment services of $35.5 million for the first nine months of 2026 increased by $4.7 million, or 15 percent, over the first nine months of the prior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non-interest expense for the periods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Nine Months ended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Sep 30,</w:t>
            </w:r>
          </w:p>
        </w:tc>
        <w:tc>
          <w:tcPr>
            <w:tcW w:w="240" w:type="dxa"/>
            <w:vAlign w:val="bottom"/>
          </w:tcPr>
          <w:p>
            <w:pPr>
              <w:spacing w:after="0"/>
              <w:rPr>
                <w:sz w:val="15"/>
                <w:szCs w:val="15"/>
                <w:color w:val="auto"/>
              </w:rPr>
            </w:pPr>
          </w:p>
        </w:tc>
        <w:tc>
          <w:tcPr>
            <w:tcW w:w="114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Sep 30,</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6"/>
                <w:szCs w:val="16"/>
                <w:color w:val="auto"/>
              </w:rPr>
            </w:pPr>
          </w:p>
        </w:tc>
        <w:tc>
          <w:tcPr>
            <w:tcW w:w="102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color w:val="auto"/>
              </w:rPr>
              <w:t>$ Change</w:t>
            </w:r>
          </w:p>
        </w:tc>
        <w:tc>
          <w:tcPr>
            <w:tcW w:w="120" w:type="dxa"/>
            <w:vAlign w:val="bottom"/>
          </w:tcPr>
          <w:p>
            <w:pPr>
              <w:spacing w:after="0"/>
              <w:rPr>
                <w:sz w:val="16"/>
                <w:szCs w:val="16"/>
                <w:color w:val="auto"/>
              </w:rPr>
            </w:pPr>
          </w:p>
        </w:tc>
        <w:tc>
          <w:tcPr>
            <w:tcW w:w="140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 Change</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352,730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282,296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3"/>
        </w:trPr>
        <w:tc>
          <w:tcPr>
            <w:tcW w:w="20" w:type="dxa"/>
            <w:vAlign w:val="bottom"/>
          </w:tcPr>
          <w:p>
            <w:pPr>
              <w:spacing w:after="0"/>
              <w:rPr>
                <w:sz w:val="21"/>
                <w:szCs w:val="21"/>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Occupancy and equipment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43"/>
        </w:trPr>
        <w:tc>
          <w:tcPr>
            <w:tcW w:w="20" w:type="dxa"/>
            <w:vAlign w:val="bottom"/>
            <w:shd w:val="clear" w:color="auto" w:fill="CCEEFF"/>
          </w:tcPr>
          <w:p>
            <w:pPr>
              <w:spacing w:after="0"/>
              <w:rPr>
                <w:sz w:val="21"/>
                <w:szCs w:val="21"/>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promotions</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20" w:type="dxa"/>
            <w:vAlign w:val="bottom"/>
          </w:tcPr>
          <w:p>
            <w:pPr>
              <w:spacing w:after="0"/>
              <w:rPr>
                <w:sz w:val="21"/>
                <w:szCs w:val="21"/>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processing</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43"/>
        </w:trPr>
        <w:tc>
          <w:tcPr>
            <w:tcW w:w="20" w:type="dxa"/>
            <w:vAlign w:val="bottom"/>
            <w:shd w:val="clear" w:color="auto" w:fill="CCEEFF"/>
          </w:tcPr>
          <w:p>
            <w:pPr>
              <w:spacing w:after="0"/>
              <w:rPr>
                <w:sz w:val="21"/>
                <w:szCs w:val="21"/>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 owned and foreclosed assets</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43"/>
        </w:trPr>
        <w:tc>
          <w:tcPr>
            <w:tcW w:w="20" w:type="dxa"/>
            <w:vAlign w:val="bottom"/>
          </w:tcPr>
          <w:p>
            <w:pPr>
              <w:spacing w:after="0"/>
              <w:rPr>
                <w:sz w:val="21"/>
                <w:szCs w:val="21"/>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assessments and insurance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20" w:type="dxa"/>
            <w:vAlign w:val="bottom"/>
            <w:shd w:val="clear" w:color="auto" w:fill="CCEEFF"/>
          </w:tcPr>
          <w:p>
            <w:pPr>
              <w:spacing w:after="0"/>
              <w:rPr>
                <w:sz w:val="21"/>
                <w:szCs w:val="21"/>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amortization</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43"/>
        </w:trPr>
        <w:tc>
          <w:tcPr>
            <w:tcW w:w="20" w:type="dxa"/>
            <w:vAlign w:val="bottom"/>
            <w:tcBorders>
              <w:bottom w:val="single" w:sz="8" w:color="CCEEFF"/>
            </w:tcBorders>
          </w:tcPr>
          <w:p>
            <w:pPr>
              <w:spacing w:after="0"/>
              <w:rPr>
                <w:sz w:val="21"/>
                <w:szCs w:val="21"/>
                <w:color w:val="auto"/>
              </w:rPr>
            </w:pPr>
          </w:p>
        </w:tc>
        <w:tc>
          <w:tcPr>
            <w:tcW w:w="5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82,984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10,912</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7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non-interest expense of $579 million for the first nine months of 2026 increased $105 million, or 22 percent, over the first nine months of the prior year and was primarily driven by increased costs from acquired banks. Compensation and employee benefits expense of $353 million in the first nine months of 2026 increased $70.4 million, or 25 percent, over the first nine months of the prior year and was primarily driven by annual salary increases and staffing increases from acquisitions. Occupancy and equipment expense of $47.4 million in the first nine months of 2026 increased $9.3 million, or 24 percent, over the first nine months of the prior year primarily due to increased costs from acquired banks. Data processing expense of $37.9 million in the first nine months of 2026 increased $8.2 million, or 28 percent, over the first nine months of the prior year primarily due to increased costs from acquired banks. Other expenses of $93.9 million for the first nine months of 2026 increased $10.9 million, or 13 percent, from the first nine months of the prior year and was primarily driven by an increase in costs from acquisitions.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Acquisition-related expense was $10.6 million in the first nine months of the current year compared to $10.8 million in the prior year first nine months. In addition, compensation and employee benefits included $7.1 million of expense attributable to acquisition-related employment agreements in the first nine months of the current year compared to $1.4 million in the first nine months of the prior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Efficiency Ratio</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efficiency ratio was 58.51 percent for the first nine months of 2026 compared to 63.12 percent for the same period of 2025. The decrease from the prior year was primarily attributable to the increase in net interest income that outpaced the increase in non-interest expense.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provision for credit loss expense was $17.5 million for the first nine months of 2026, a decrease of $18.2 million, or 51 percent, over the same period in the prior year. Included in the first nine months of the prior year provision for credit losses was $16.7 million from the acquisition of BOID. Net charge-offs for the first nine months of 2026 were $14.9 million compared to $6.4 million in the first nine months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42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Non-GAAP Financial Measures and Reconciliations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gridSpan w:val="3"/>
          </w:tcPr>
          <w:p>
            <w:pPr>
              <w:spacing w:after="0"/>
              <w:rPr>
                <w:sz w:val="20"/>
                <w:szCs w:val="20"/>
                <w:color w:val="auto"/>
              </w:rPr>
            </w:pPr>
            <w:r>
              <w:rPr>
                <w:rFonts w:ascii="Arial" w:cs="Arial" w:eastAsia="Arial" w:hAnsi="Arial"/>
                <w:sz w:val="14"/>
                <w:szCs w:val="14"/>
                <w:color w:val="auto"/>
              </w:rPr>
              <w:t>(Dollars in thousands)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Sep 30, 2026</w:t>
            </w:r>
          </w:p>
        </w:tc>
        <w:tc>
          <w:tcPr>
            <w:tcW w:w="100" w:type="dxa"/>
            <w:vAlign w:val="bottom"/>
          </w:tcPr>
          <w:p>
            <w:pPr>
              <w:spacing w:after="0"/>
              <w:rPr>
                <w:sz w:val="19"/>
                <w:szCs w:val="19"/>
                <w:color w:val="auto"/>
              </w:rPr>
            </w:pPr>
          </w:p>
        </w:tc>
        <w:tc>
          <w:tcPr>
            <w:tcW w:w="1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Jun 30, 2026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Dec 31, 2025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Sep 30, 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Equity</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4,339,861</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4,313,022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4,213,821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3,608,288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0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goodwill and intangible assets, net</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(1,469,156)</w:t>
            </w:r>
          </w:p>
        </w:tc>
        <w:tc>
          <w:tcPr>
            <w:tcW w:w="100" w:type="dxa"/>
            <w:vAlign w:val="bottom"/>
            <w:shd w:val="clear" w:color="auto" w:fill="CCEEFF"/>
          </w:tcPr>
          <w:p>
            <w:pPr>
              <w:spacing w:after="0"/>
              <w:rPr>
                <w:sz w:val="21"/>
                <w:szCs w:val="21"/>
                <w:color w:val="auto"/>
              </w:rPr>
            </w:pP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(1,473,954)</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(1,483,552)</w:t>
            </w: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(1,182,536)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Tangible stockholders' equity (non-GAAP)</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2,870,705</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2,839,068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2,730,269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2,425,752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Tangible Assets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32,290,804</w:t>
            </w:r>
          </w:p>
        </w:tc>
        <w:tc>
          <w:tcPr>
            <w:tcW w:w="1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31,599,001</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31,978,063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29,015,627</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308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8"/>
                <w:szCs w:val="18"/>
                <w:color w:val="auto"/>
              </w:rPr>
              <w:t>Less: goodwill and intangible assets, net</w:t>
            </w:r>
          </w:p>
        </w:tc>
        <w:tc>
          <w:tcPr>
            <w:tcW w:w="10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(1,469,156)</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(1,473,954)</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(1,483,552)</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(1,182,536)</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2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Tangible assets (non-GAAP)</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30,821,648</w:t>
            </w:r>
          </w:p>
        </w:tc>
        <w:tc>
          <w:tcPr>
            <w:tcW w:w="1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30,125,047</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30,494,511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27,833,091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2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equity to tangible assets (non-GAAP)</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9.31 %</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9.42 %</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8.95 %</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Book value per share</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7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33.33</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7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2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book value per share (non-GAAP)</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22.05</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70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ind w:left="120"/>
              <w:spacing w:after="0"/>
              <w:rPr>
                <w:sz w:val="20"/>
                <w:szCs w:val="20"/>
                <w:color w:val="auto"/>
              </w:rPr>
            </w:pPr>
            <w:r>
              <w:rPr>
                <w:rFonts w:ascii="Times New Roman" w:cs="Times New Roman" w:eastAsia="Times New Roman" w:hAnsi="Times New Roman"/>
                <w:sz w:val="18"/>
                <w:szCs w:val="18"/>
                <w:color w:val="auto"/>
              </w:rPr>
              <w:t>At or for the Three Months ended</w:t>
            </w: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At or for the Nine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440" w:type="dxa"/>
            <w:vAlign w:val="bottom"/>
            <w:gridSpan w:val="3"/>
          </w:tcPr>
          <w:p>
            <w:pPr>
              <w:ind w:left="200"/>
              <w:spacing w:after="0" w:line="169" w:lineRule="exact"/>
              <w:rPr>
                <w:sz w:val="20"/>
                <w:szCs w:val="20"/>
                <w:color w:val="auto"/>
              </w:rPr>
            </w:pPr>
            <w:r>
              <w:rPr>
                <w:rFonts w:ascii="Times New Roman" w:cs="Times New Roman" w:eastAsia="Times New Roman" w:hAnsi="Times New Roman"/>
                <w:sz w:val="18"/>
                <w:szCs w:val="18"/>
                <w:color w:val="auto"/>
              </w:rPr>
              <w:t>Sep 30, 2026</w:t>
            </w:r>
          </w:p>
        </w:tc>
        <w:tc>
          <w:tcPr>
            <w:tcW w:w="1200" w:type="dxa"/>
            <w:vAlign w:val="bottom"/>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auto"/>
              </w:rPr>
              <w:t>Jun 30, 2026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tcPr>
          <w:p>
            <w:pPr>
              <w:ind w:left="160"/>
              <w:spacing w:after="0" w:line="169" w:lineRule="exact"/>
              <w:rPr>
                <w:sz w:val="20"/>
                <w:szCs w:val="20"/>
                <w:color w:val="auto"/>
              </w:rPr>
            </w:pPr>
            <w:r>
              <w:rPr>
                <w:rFonts w:ascii="Times New Roman" w:cs="Times New Roman" w:eastAsia="Times New Roman" w:hAnsi="Times New Roman"/>
                <w:sz w:val="18"/>
                <w:szCs w:val="18"/>
                <w:color w:val="auto"/>
              </w:rPr>
              <w:t>Mar 31, 2026</w:t>
            </w:r>
          </w:p>
        </w:tc>
        <w:tc>
          <w:tcPr>
            <w:tcW w:w="1420" w:type="dxa"/>
            <w:vAlign w:val="bottom"/>
            <w:gridSpan w:val="5"/>
          </w:tcPr>
          <w:p>
            <w:pPr>
              <w:ind w:left="200"/>
              <w:spacing w:after="0" w:line="169" w:lineRule="exact"/>
              <w:rPr>
                <w:sz w:val="20"/>
                <w:szCs w:val="20"/>
                <w:color w:val="auto"/>
              </w:rPr>
            </w:pPr>
            <w:r>
              <w:rPr>
                <w:rFonts w:ascii="Times New Roman" w:cs="Times New Roman" w:eastAsia="Times New Roman" w:hAnsi="Times New Roman"/>
                <w:sz w:val="18"/>
                <w:szCs w:val="18"/>
                <w:color w:val="auto"/>
              </w:rPr>
              <w:t>Sep 30, 2025</w:t>
            </w:r>
          </w:p>
        </w:tc>
        <w:tc>
          <w:tcPr>
            <w:tcW w:w="1160" w:type="dxa"/>
            <w:vAlign w:val="bottom"/>
            <w:gridSpan w:val="3"/>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Sep 30, 2026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Sep 30, 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Net Interest Margin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20" w:type="dxa"/>
            <w:vAlign w:val="bottom"/>
            <w:gridSpan w:val="3"/>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Net interest income (tax equivalent) </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293,484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280,016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5"/>
              </w:rPr>
              <w:t>272,383</w:t>
            </w:r>
          </w:p>
        </w:tc>
        <w:tc>
          <w:tcPr>
            <w:tcW w:w="100" w:type="dxa"/>
            <w:vAlign w:val="bottom"/>
          </w:tcPr>
          <w:p>
            <w:pPr>
              <w:spacing w:after="0"/>
              <w:rPr>
                <w:sz w:val="21"/>
                <w:szCs w:val="21"/>
                <w:color w:val="auto"/>
              </w:rPr>
            </w:pPr>
          </w:p>
        </w:tc>
        <w:tc>
          <w:tcPr>
            <w:tcW w:w="13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228,835</w:t>
            </w:r>
          </w:p>
        </w:tc>
        <w:tc>
          <w:tcPr>
            <w:tcW w:w="1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845,883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633,317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accounting accretion, net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5"/>
              </w:rPr>
              <w:t>(2,310)</w:t>
            </w:r>
          </w:p>
        </w:tc>
        <w:tc>
          <w:tcPr>
            <w:tcW w:w="1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(13,095)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2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Non-accrual loan interest (recovery)</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28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reversal</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914</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820" w:type="dxa"/>
            <w:vAlign w:val="bottom"/>
            <w:gridSpan w:val="3"/>
            <w:shd w:val="clear" w:color="auto" w:fill="CCEEFF"/>
          </w:tcPr>
          <w:p>
            <w:pPr>
              <w:ind w:left="220"/>
              <w:spacing w:after="0" w:line="169" w:lineRule="exact"/>
              <w:rPr>
                <w:sz w:val="20"/>
                <w:szCs w:val="20"/>
                <w:color w:val="auto"/>
              </w:rPr>
            </w:pPr>
            <w:r>
              <w:rPr>
                <w:rFonts w:ascii="Times New Roman" w:cs="Times New Roman" w:eastAsia="Times New Roman" w:hAnsi="Times New Roman"/>
                <w:sz w:val="18"/>
                <w:szCs w:val="18"/>
                <w:color w:val="auto"/>
              </w:rPr>
              <w:t>Core net interest income (tax</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289,492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277,009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5"/>
              </w:rPr>
              <w:t>267,201</w:t>
            </w:r>
          </w:p>
        </w:tc>
        <w:tc>
          <w:tcPr>
            <w:tcW w:w="100" w:type="dxa"/>
            <w:vAlign w:val="bottom"/>
            <w:shd w:val="clear" w:color="auto" w:fill="CCEEFF"/>
          </w:tcPr>
          <w:p>
            <w:pPr>
              <w:spacing w:after="0"/>
              <w:rPr>
                <w:sz w:val="14"/>
                <w:szCs w:val="14"/>
                <w:color w:val="auto"/>
              </w:rPr>
            </w:pPr>
          </w:p>
        </w:tc>
        <w:tc>
          <w:tcPr>
            <w:tcW w:w="1320" w:type="dxa"/>
            <w:vAlign w:val="bottom"/>
            <w:gridSpan w:val="4"/>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226,421</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833,702</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625,643</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equivalent) (non-GAAP)</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gridSpan w:val="4"/>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gridSpan w:val="2"/>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earning assets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29,069,918</w:t>
            </w:r>
          </w:p>
        </w:tc>
        <w:tc>
          <w:tcPr>
            <w:tcW w:w="1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28,793,343</w:t>
            </w:r>
          </w:p>
        </w:tc>
        <w:tc>
          <w:tcPr>
            <w:tcW w:w="1500" w:type="dxa"/>
            <w:vAlign w:val="bottom"/>
            <w:gridSpan w:val="5"/>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29,078,665</w:t>
            </w:r>
          </w:p>
        </w:tc>
        <w:tc>
          <w:tcPr>
            <w:tcW w:w="100" w:type="dxa"/>
            <w:vAlign w:val="bottom"/>
            <w:shd w:val="clear" w:color="auto" w:fill="CCEEFF"/>
          </w:tcPr>
          <w:p>
            <w:pPr>
              <w:spacing w:after="0"/>
              <w:rPr>
                <w:sz w:val="21"/>
                <w:szCs w:val="21"/>
                <w:color w:val="auto"/>
              </w:rPr>
            </w:pPr>
          </w:p>
        </w:tc>
        <w:tc>
          <w:tcPr>
            <w:tcW w:w="1320" w:type="dxa"/>
            <w:vAlign w:val="bottom"/>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26,815,927</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28,980,610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26,353,065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40" w:type="dxa"/>
            <w:vAlign w:val="bottom"/>
            <w:gridSpan w:val="2"/>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4"/>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margin (tax equivalent)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shd w:val="clear" w:color="auto" w:fill="CCEEFF"/>
          </w:tcPr>
          <w:p>
            <w:pPr>
              <w:spacing w:after="0"/>
              <w:rPr>
                <w:sz w:val="21"/>
                <w:szCs w:val="21"/>
                <w:color w:val="auto"/>
              </w:rPr>
            </w:pPr>
          </w:p>
        </w:tc>
        <w:tc>
          <w:tcPr>
            <w:tcW w:w="1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Core net interest margin (tax</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equivalent) (non-GAAP)</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100" w:type="dxa"/>
            <w:vAlign w:val="bottom"/>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left="180" w:hanging="172"/>
        <w:spacing w:after="0" w:line="236" w:lineRule="auto"/>
        <w:tabs>
          <w:tab w:leader="none" w:pos="119"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Includes tax effect of $3.6 million, $3.6 million, $3.7 million and $3.5 million on tax-exempt municipal loan and lease income, tax-exempt debt securities income and federal income tax credits for the three months ended September 30, 2026, June 30, 2026, March 31, 2026, and September 30, 2025, respectively. Includes tax effect of $10.9 million and $10.3 million on tax-exempt municipal loan and lease income, tax-exempt debt securities income and federal income tax credits for the nine months ended September 30, 2026 and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color w:val="auto"/>
              </w:rPr>
              <w:t>At or for the Three Months ended</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At or for the Nine Months ended</w:t>
            </w:r>
          </w:p>
        </w:tc>
      </w:tr>
      <w:tr>
        <w:trPr>
          <w:trHeight w:val="196"/>
        </w:trPr>
        <w:tc>
          <w:tcPr>
            <w:tcW w:w="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7"/>
                <w:szCs w:val="17"/>
                <w:color w:val="auto"/>
              </w:rPr>
            </w:pPr>
          </w:p>
        </w:tc>
        <w:tc>
          <w:tcPr>
            <w:tcW w:w="12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Sep 30, 2026</w:t>
            </w:r>
          </w:p>
        </w:tc>
        <w:tc>
          <w:tcPr>
            <w:tcW w:w="120" w:type="dxa"/>
            <w:vAlign w:val="bottom"/>
          </w:tcPr>
          <w:p>
            <w:pPr>
              <w:spacing w:after="0"/>
              <w:rPr>
                <w:sz w:val="17"/>
                <w:szCs w:val="17"/>
                <w:color w:val="auto"/>
              </w:rPr>
            </w:pPr>
          </w:p>
        </w:tc>
        <w:tc>
          <w:tcPr>
            <w:tcW w:w="12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Jun 30, 2026</w:t>
            </w:r>
          </w:p>
        </w:tc>
        <w:tc>
          <w:tcPr>
            <w:tcW w:w="120" w:type="dxa"/>
            <w:vAlign w:val="bottom"/>
          </w:tcPr>
          <w:p>
            <w:pPr>
              <w:spacing w:after="0"/>
              <w:rPr>
                <w:sz w:val="17"/>
                <w:szCs w:val="17"/>
                <w:color w:val="auto"/>
              </w:rPr>
            </w:pPr>
          </w:p>
        </w:tc>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Mar 31, 2026</w:t>
            </w:r>
          </w:p>
        </w:tc>
        <w:tc>
          <w:tcPr>
            <w:tcW w:w="140" w:type="dxa"/>
            <w:vAlign w:val="bottom"/>
          </w:tcPr>
          <w:p>
            <w:pPr>
              <w:spacing w:after="0"/>
              <w:rPr>
                <w:sz w:val="17"/>
                <w:szCs w:val="17"/>
                <w:color w:val="auto"/>
              </w:rPr>
            </w:pPr>
          </w:p>
        </w:tc>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Sep 30, 2025</w:t>
            </w:r>
          </w:p>
        </w:tc>
        <w:tc>
          <w:tcPr>
            <w:tcW w:w="140" w:type="dxa"/>
            <w:vAlign w:val="bottom"/>
          </w:tcPr>
          <w:p>
            <w:pPr>
              <w:spacing w:after="0"/>
              <w:rPr>
                <w:sz w:val="17"/>
                <w:szCs w:val="17"/>
                <w:color w:val="auto"/>
              </w:rPr>
            </w:pPr>
          </w:p>
        </w:tc>
        <w:tc>
          <w:tcPr>
            <w:tcW w:w="12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Sep 30, 2026</w:t>
            </w:r>
          </w:p>
        </w:tc>
        <w:tc>
          <w:tcPr>
            <w:tcW w:w="120" w:type="dxa"/>
            <w:vAlign w:val="bottom"/>
          </w:tcPr>
          <w:p>
            <w:pPr>
              <w:spacing w:after="0"/>
              <w:rPr>
                <w:sz w:val="17"/>
                <w:szCs w:val="17"/>
                <w:color w:val="auto"/>
              </w:rPr>
            </w:pPr>
          </w:p>
        </w:tc>
        <w:tc>
          <w:tcPr>
            <w:tcW w:w="110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99"/>
              </w:rPr>
              <w:t>Sep 30, 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Diluted Earnings Per Share</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175,249</w:t>
            </w: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Provision for credit losses - acquisition ACL</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43"/>
        </w:trPr>
        <w:tc>
          <w:tcPr>
            <w:tcW w:w="20" w:type="dxa"/>
            <w:vAlign w:val="bottom"/>
            <w:shd w:val="clear" w:color="auto" w:fill="CCEEFF"/>
          </w:tcPr>
          <w:p>
            <w:pPr>
              <w:spacing w:after="0"/>
              <w:rPr>
                <w:sz w:val="21"/>
                <w:szCs w:val="21"/>
                <w:color w:val="auto"/>
              </w:rPr>
            </w:pPr>
          </w:p>
        </w:tc>
        <w:tc>
          <w:tcPr>
            <w:tcW w:w="3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16,693</w:t>
            </w:r>
          </w:p>
        </w:tc>
      </w:tr>
      <w:tr>
        <w:trPr>
          <w:trHeight w:val="243"/>
        </w:trPr>
        <w:tc>
          <w:tcPr>
            <w:tcW w:w="20" w:type="dxa"/>
            <w:vAlign w:val="bottom"/>
          </w:tcPr>
          <w:p>
            <w:pPr>
              <w:spacing w:after="0"/>
              <w:rPr>
                <w:sz w:val="21"/>
                <w:szCs w:val="21"/>
                <w:color w:val="auto"/>
              </w:rPr>
            </w:pPr>
          </w:p>
        </w:tc>
        <w:tc>
          <w:tcPr>
            <w:tcW w:w="3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adjustments - non-interest income</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3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BOLI proceeds</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169"/>
        </w:trPr>
        <w:tc>
          <w:tcPr>
            <w:tcW w:w="20" w:type="dxa"/>
            <w:vAlign w:val="bottom"/>
          </w:tcPr>
          <w:p>
            <w:pPr>
              <w:spacing w:after="0"/>
              <w:rPr>
                <w:sz w:val="14"/>
                <w:szCs w:val="14"/>
                <w:color w:val="auto"/>
              </w:rPr>
            </w:pPr>
          </w:p>
        </w:tc>
        <w:tc>
          <w:tcPr>
            <w:tcW w:w="3380" w:type="dxa"/>
            <w:vAlign w:val="bottom"/>
            <w:gridSpan w:val="2"/>
          </w:tcPr>
          <w:p>
            <w:pPr>
              <w:ind w:left="340"/>
              <w:spacing w:after="0" w:line="169" w:lineRule="exact"/>
              <w:rPr>
                <w:sz w:val="20"/>
                <w:szCs w:val="20"/>
                <w:color w:val="auto"/>
              </w:rPr>
            </w:pPr>
            <w:r>
              <w:rPr>
                <w:rFonts w:ascii="Times New Roman" w:cs="Times New Roman" w:eastAsia="Times New Roman" w:hAnsi="Times New Roman"/>
                <w:sz w:val="18"/>
                <w:szCs w:val="18"/>
                <w:color w:val="auto"/>
                <w:w w:val="99"/>
              </w:rPr>
              <w:t>Total operating adjustments - non-interest</w:t>
            </w: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3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189"/>
        </w:trPr>
        <w:tc>
          <w:tcPr>
            <w:tcW w:w="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 adjustments - non-interest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43"/>
        </w:trPr>
        <w:tc>
          <w:tcPr>
            <w:tcW w:w="20" w:type="dxa"/>
            <w:vAlign w:val="bottom"/>
            <w:shd w:val="clear" w:color="auto" w:fill="CCEEFF"/>
          </w:tcPr>
          <w:p>
            <w:pPr>
              <w:spacing w:after="0"/>
              <w:rPr>
                <w:sz w:val="21"/>
                <w:szCs w:val="21"/>
                <w:color w:val="auto"/>
              </w:rPr>
            </w:pPr>
          </w:p>
        </w:tc>
        <w:tc>
          <w:tcPr>
            <w:tcW w:w="3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Acquisition-related compensation</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43"/>
        </w:trPr>
        <w:tc>
          <w:tcPr>
            <w:tcW w:w="20" w:type="dxa"/>
            <w:vAlign w:val="bottom"/>
            <w:shd w:val="clear" w:color="auto" w:fill="CCEEFF"/>
          </w:tcPr>
          <w:p>
            <w:pPr>
              <w:spacing w:after="0"/>
              <w:rPr>
                <w:sz w:val="21"/>
                <w:szCs w:val="21"/>
                <w:color w:val="auto"/>
              </w:rPr>
            </w:pPr>
          </w:p>
        </w:tc>
        <w:tc>
          <w:tcPr>
            <w:tcW w:w="3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terminations</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FDIC special assessment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43"/>
        </w:trPr>
        <w:tc>
          <w:tcPr>
            <w:tcW w:w="20" w:type="dxa"/>
            <w:vAlign w:val="bottom"/>
            <w:shd w:val="clear" w:color="auto" w:fill="CCEEFF"/>
          </w:tcPr>
          <w:p>
            <w:pPr>
              <w:spacing w:after="0"/>
              <w:rPr>
                <w:sz w:val="21"/>
                <w:szCs w:val="21"/>
                <w:color w:val="auto"/>
              </w:rPr>
            </w:pPr>
          </w:p>
        </w:tc>
        <w:tc>
          <w:tcPr>
            <w:tcW w:w="3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on fixed assets</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43"/>
        </w:trPr>
        <w:tc>
          <w:tcPr>
            <w:tcW w:w="20" w:type="dxa"/>
            <w:vAlign w:val="bottom"/>
            <w:tcBorders>
              <w:bottom w:val="single" w:sz="8" w:color="CCEEFF"/>
            </w:tcBorders>
          </w:tcPr>
          <w:p>
            <w:pPr>
              <w:spacing w:after="0"/>
              <w:rPr>
                <w:sz w:val="21"/>
                <w:szCs w:val="21"/>
                <w:color w:val="auto"/>
              </w:rPr>
            </w:pPr>
          </w:p>
        </w:tc>
        <w:tc>
          <w:tcPr>
            <w:tcW w:w="3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Acquisition-related expense</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10,793</w:t>
            </w:r>
          </w:p>
        </w:tc>
      </w:tr>
      <w:tr>
        <w:trPr>
          <w:trHeight w:val="169"/>
        </w:trPr>
        <w:tc>
          <w:tcPr>
            <w:tcW w:w="2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ind w:left="340"/>
              <w:spacing w:after="0" w:line="169" w:lineRule="exact"/>
              <w:rPr>
                <w:sz w:val="20"/>
                <w:szCs w:val="20"/>
                <w:color w:val="auto"/>
              </w:rPr>
            </w:pPr>
            <w:r>
              <w:rPr>
                <w:rFonts w:ascii="Times New Roman" w:cs="Times New Roman" w:eastAsia="Times New Roman" w:hAnsi="Times New Roman"/>
                <w:sz w:val="18"/>
                <w:szCs w:val="18"/>
                <w:color w:val="auto"/>
                <w:w w:val="99"/>
              </w:rPr>
              <w:t>Total operating adjustments - non-interest</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43"/>
        </w:trPr>
        <w:tc>
          <w:tcPr>
            <w:tcW w:w="20" w:type="dxa"/>
            <w:vAlign w:val="bottom"/>
            <w:shd w:val="clear" w:color="auto" w:fill="CCEEFF"/>
          </w:tcPr>
          <w:p>
            <w:pPr>
              <w:spacing w:after="0"/>
              <w:rPr>
                <w:sz w:val="21"/>
                <w:szCs w:val="21"/>
                <w:color w:val="auto"/>
              </w:rPr>
            </w:pPr>
          </w:p>
        </w:tc>
        <w:tc>
          <w:tcPr>
            <w:tcW w:w="3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r>
      <w:tr>
        <w:trPr>
          <w:trHeight w:val="243"/>
        </w:trPr>
        <w:tc>
          <w:tcPr>
            <w:tcW w:w="20" w:type="dxa"/>
            <w:vAlign w:val="bottom"/>
            <w:tcBorders>
              <w:bottom w:val="single" w:sz="8" w:color="CCEEFF"/>
            </w:tcBorders>
          </w:tcPr>
          <w:p>
            <w:pPr>
              <w:spacing w:after="0"/>
              <w:rPr>
                <w:sz w:val="21"/>
                <w:szCs w:val="21"/>
                <w:color w:val="auto"/>
              </w:rPr>
            </w:pPr>
          </w:p>
        </w:tc>
        <w:tc>
          <w:tcPr>
            <w:tcW w:w="3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Tax impact</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(6,553)</w:t>
            </w:r>
          </w:p>
        </w:tc>
      </w:tr>
      <w:tr>
        <w:trPr>
          <w:trHeight w:val="237"/>
        </w:trPr>
        <w:tc>
          <w:tcPr>
            <w:tcW w:w="20" w:type="dxa"/>
            <w:vAlign w:val="bottom"/>
            <w:shd w:val="clear" w:color="auto" w:fill="CCEEFF"/>
          </w:tcPr>
          <w:p>
            <w:pPr>
              <w:spacing w:after="0"/>
              <w:rPr>
                <w:sz w:val="20"/>
                <w:szCs w:val="20"/>
                <w:color w:val="auto"/>
              </w:rPr>
            </w:pPr>
          </w:p>
        </w:tc>
        <w:tc>
          <w:tcPr>
            <w:tcW w:w="33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operating adjustments</w:t>
            </w: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19,092</w:t>
            </w:r>
          </w:p>
        </w:tc>
      </w:tr>
      <w:tr>
        <w:trPr>
          <w:trHeight w:val="237"/>
        </w:trPr>
        <w:tc>
          <w:tcPr>
            <w:tcW w:w="20" w:type="dxa"/>
            <w:vAlign w:val="bottom"/>
          </w:tcPr>
          <w:p>
            <w:pPr>
              <w:spacing w:after="0"/>
              <w:rPr>
                <w:sz w:val="20"/>
                <w:szCs w:val="20"/>
                <w:color w:val="auto"/>
              </w:rPr>
            </w:pPr>
          </w:p>
        </w:tc>
        <w:tc>
          <w:tcPr>
            <w:tcW w:w="3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Operating net income (non-GAAP)</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105,406</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90,580</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74,073</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294,877</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194,341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33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Weighted average diluted common shares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130,433,235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130,346,888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130,242,765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118,628,434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130,324,260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116,382,822</w:t>
            </w:r>
          </w:p>
        </w:tc>
      </w:tr>
      <w:tr>
        <w:trPr>
          <w:trHeight w:val="243"/>
        </w:trPr>
        <w:tc>
          <w:tcPr>
            <w:tcW w:w="20" w:type="dxa"/>
            <w:vAlign w:val="bottom"/>
            <w:shd w:val="clear" w:color="auto" w:fill="CCEEFF"/>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3"/>
        </w:trPr>
        <w:tc>
          <w:tcPr>
            <w:tcW w:w="2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diluted EPS (non-GAAP)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At or for the Three Months ended</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At or for the Nine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Pr>
          <w:p>
            <w:pPr>
              <w:spacing w:after="0"/>
              <w:rPr>
                <w:sz w:val="15"/>
                <w:szCs w:val="15"/>
                <w:color w:val="auto"/>
              </w:rPr>
            </w:pPr>
          </w:p>
        </w:tc>
        <w:tc>
          <w:tcPr>
            <w:tcW w:w="134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Sep 30, 2026</w:t>
            </w:r>
          </w:p>
        </w:tc>
        <w:tc>
          <w:tcPr>
            <w:tcW w:w="180" w:type="dxa"/>
            <w:vAlign w:val="bottom"/>
          </w:tcPr>
          <w:p>
            <w:pPr>
              <w:spacing w:after="0"/>
              <w:rPr>
                <w:sz w:val="15"/>
                <w:szCs w:val="15"/>
                <w:color w:val="auto"/>
              </w:rPr>
            </w:pPr>
          </w:p>
        </w:tc>
        <w:tc>
          <w:tcPr>
            <w:tcW w:w="132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Jun 30, 2026</w:t>
            </w:r>
          </w:p>
        </w:tc>
        <w:tc>
          <w:tcPr>
            <w:tcW w:w="180" w:type="dxa"/>
            <w:vAlign w:val="bottom"/>
          </w:tcPr>
          <w:p>
            <w:pPr>
              <w:spacing w:after="0"/>
              <w:rPr>
                <w:sz w:val="15"/>
                <w:szCs w:val="15"/>
                <w:color w:val="auto"/>
              </w:rPr>
            </w:pPr>
          </w:p>
        </w:tc>
        <w:tc>
          <w:tcPr>
            <w:tcW w:w="13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Mar 31, 2026</w:t>
            </w:r>
          </w:p>
        </w:tc>
        <w:tc>
          <w:tcPr>
            <w:tcW w:w="180" w:type="dxa"/>
            <w:vAlign w:val="bottom"/>
          </w:tcPr>
          <w:p>
            <w:pPr>
              <w:spacing w:after="0"/>
              <w:rPr>
                <w:sz w:val="15"/>
                <w:szCs w:val="15"/>
                <w:color w:val="auto"/>
              </w:rPr>
            </w:pPr>
          </w:p>
        </w:tc>
        <w:tc>
          <w:tcPr>
            <w:tcW w:w="134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Sep 30, 2025</w:t>
            </w:r>
          </w:p>
        </w:tc>
        <w:tc>
          <w:tcPr>
            <w:tcW w:w="160" w:type="dxa"/>
            <w:vAlign w:val="bottom"/>
          </w:tcPr>
          <w:p>
            <w:pPr>
              <w:spacing w:after="0"/>
              <w:rPr>
                <w:sz w:val="15"/>
                <w:szCs w:val="15"/>
                <w:color w:val="auto"/>
              </w:rPr>
            </w:pPr>
          </w:p>
        </w:tc>
        <w:tc>
          <w:tcPr>
            <w:tcW w:w="134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Sep 30, 2026</w:t>
            </w:r>
          </w:p>
        </w:tc>
        <w:tc>
          <w:tcPr>
            <w:tcW w:w="180" w:type="dxa"/>
            <w:vAlign w:val="bottom"/>
          </w:tcPr>
          <w:p>
            <w:pPr>
              <w:spacing w:after="0"/>
              <w:rPr>
                <w:sz w:val="15"/>
                <w:szCs w:val="15"/>
                <w:color w:val="auto"/>
              </w:rPr>
            </w:pPr>
          </w:p>
        </w:tc>
        <w:tc>
          <w:tcPr>
            <w:tcW w:w="124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Sep 30, 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300" w:type="dxa"/>
            <w:vAlign w:val="bottom"/>
            <w:tcBorders>
              <w:top w:val="single" w:sz="8" w:color="auto"/>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Efficiency Ratio</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191,884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186,700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200,529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167,783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579,113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474,220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OREO expense</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2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Intangible amortization</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(4,799)</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(14,396)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(10,707)</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186,995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181,841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195,714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163,905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564,549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463,416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Operating expense</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2260" w:type="dxa"/>
            <w:vAlign w:val="bottom"/>
            <w:tcBorders>
              <w:bottom w:val="single" w:sz="8" w:color="CCEEFF"/>
            </w:tcBorders>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adjustments (pre-tax)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(1,434)</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(12,240)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(8,545)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(14,795)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(10,316)</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Total operating non-interest</w:t>
            </w: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185,873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180,407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183,474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155,360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549,754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453,100</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(non-GAAP)</w:t>
            </w: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60" w:type="dxa"/>
            <w:vAlign w:val="bottom"/>
            <w:tcBorders>
              <w:top w:val="single" w:sz="8" w:color="CCEEFF"/>
              <w:bottom w:val="single" w:sz="8" w:color="CCEEFF"/>
            </w:tcBorders>
            <w:gridSpan w:val="2"/>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Net interest income (tax</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22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equivalent)</w:t>
            </w:r>
          </w:p>
        </w:tc>
        <w:tc>
          <w:tcPr>
            <w:tcW w:w="1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293,484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280,016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272,383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228,835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845,883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633,317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39,941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41,101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38,082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35,352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119,124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100,938</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2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OREO income</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333,418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321,007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310,430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264,152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964,855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734,220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Operating revenue</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(pre-tax)</w:t>
            </w:r>
          </w:p>
        </w:tc>
        <w:tc>
          <w:tcPr>
            <w:tcW w:w="16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260" w:type="dxa"/>
            <w:vAlign w:val="bottom"/>
            <w:tcBorders>
              <w:top w:val="single" w:sz="8" w:color="CCEEFF"/>
            </w:tcBorders>
            <w:gridSpan w:val="2"/>
            <w:shd w:val="clear" w:color="auto" w:fill="CCEEFF"/>
          </w:tcPr>
          <w:p>
            <w:pPr>
              <w:ind w:left="400"/>
              <w:spacing w:after="0" w:line="169" w:lineRule="exact"/>
              <w:rPr>
                <w:sz w:val="20"/>
                <w:szCs w:val="20"/>
                <w:color w:val="auto"/>
              </w:rPr>
            </w:pPr>
            <w:r>
              <w:rPr>
                <w:rFonts w:ascii="Times New Roman" w:cs="Times New Roman" w:eastAsia="Times New Roman" w:hAnsi="Times New Roman"/>
                <w:sz w:val="18"/>
                <w:szCs w:val="18"/>
                <w:color w:val="auto"/>
              </w:rPr>
              <w:t>Total revenues (non-</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333,418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320,944</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309,654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263,901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964,016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732,856</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GAAP)</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Efficiency ratio</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Efficiency ratio (non-GAAP)</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100" w:hanging="92"/>
        <w:spacing w:after="0" w:line="203" w:lineRule="auto"/>
        <w:tabs>
          <w:tab w:leader="none" w:pos="1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Operating expense adjustments (pre-tax) are as defined on within the Operating Diluted Earnings Per Share table.</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49"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ADDITIONAL MANAGEMENT’S DISCUSSION AND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Activity</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investment securities primarily consist of debt securities classified as either AFS or HTM. Equity securities primarily consist of capital stock issued by the FHLB of Des Moines.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Securities</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Debt securities classified as AFS are carried at estimated fair value and debt securities classified as HTM are carried at amortized cost. Unrealized gains or losses, net of tax, on AFS debt securities are reflected as an adjustment to OCI. The Company’s debt securities are summarized below:</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September 30, 2026</w:t>
            </w:r>
          </w:p>
        </w:tc>
        <w:tc>
          <w:tcPr>
            <w:tcW w:w="200" w:type="dxa"/>
            <w:vAlign w:val="bottom"/>
          </w:tcPr>
          <w:p>
            <w:pPr>
              <w:spacing w:after="0"/>
              <w:rPr>
                <w:sz w:val="20"/>
                <w:szCs w:val="20"/>
                <w:color w:val="auto"/>
              </w:rPr>
            </w:pPr>
          </w:p>
        </w:tc>
        <w:tc>
          <w:tcPr>
            <w:tcW w:w="24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tcPr>
          <w:p>
            <w:pPr>
              <w:spacing w:after="0"/>
              <w:rPr>
                <w:sz w:val="20"/>
                <w:szCs w:val="20"/>
                <w:color w:val="auto"/>
              </w:rPr>
            </w:pPr>
          </w:p>
        </w:tc>
        <w:tc>
          <w:tcPr>
            <w:tcW w:w="23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280"/>
              <w:spacing w:after="0" w:line="182" w:lineRule="exact"/>
              <w:rPr>
                <w:sz w:val="20"/>
                <w:szCs w:val="20"/>
                <w:color w:val="auto"/>
              </w:rPr>
            </w:pPr>
            <w:r>
              <w:rPr>
                <w:rFonts w:ascii="Times New Roman" w:cs="Times New Roman" w:eastAsia="Times New Roman" w:hAnsi="Times New Roman"/>
                <w:sz w:val="18"/>
                <w:szCs w:val="18"/>
                <w:color w:val="auto"/>
                <w:w w:val="99"/>
              </w:rPr>
              <w:t>Carrying</w:t>
            </w: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280"/>
              <w:spacing w:after="0" w:line="182" w:lineRule="exact"/>
              <w:rPr>
                <w:sz w:val="20"/>
                <w:szCs w:val="20"/>
                <w:color w:val="auto"/>
              </w:rPr>
            </w:pPr>
            <w:r>
              <w:rPr>
                <w:rFonts w:ascii="Times New Roman" w:cs="Times New Roman" w:eastAsia="Times New Roman" w:hAnsi="Times New Roman"/>
                <w:sz w:val="18"/>
                <w:szCs w:val="18"/>
                <w:color w:val="auto"/>
                <w:w w:val="99"/>
              </w:rPr>
              <w:t>Carrying</w:t>
            </w: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300"/>
              <w:spacing w:after="0" w:line="182" w:lineRule="exact"/>
              <w:rPr>
                <w:sz w:val="20"/>
                <w:szCs w:val="20"/>
                <w:color w:val="auto"/>
              </w:rPr>
            </w:pPr>
            <w:r>
              <w:rPr>
                <w:rFonts w:ascii="Times New Roman" w:cs="Times New Roman" w:eastAsia="Times New Roman" w:hAnsi="Times New Roman"/>
                <w:sz w:val="18"/>
                <w:szCs w:val="18"/>
                <w:color w:val="auto"/>
                <w:w w:val="96"/>
              </w:rPr>
              <w:t>Carrying</w:t>
            </w:r>
          </w:p>
        </w:tc>
        <w:tc>
          <w:tcPr>
            <w:tcW w:w="1200" w:type="dxa"/>
            <w:vAlign w:val="bottom"/>
            <w:tcBorders>
              <w:top w:val="single" w:sz="8" w:color="auto"/>
            </w:tcBorders>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6"/>
                <w:szCs w:val="16"/>
                <w:color w:val="auto"/>
              </w:rPr>
            </w:pPr>
          </w:p>
        </w:tc>
        <w:tc>
          <w:tcPr>
            <w:tcW w:w="112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auto"/>
                <w:w w:val="98"/>
              </w:rPr>
              <w:t>Amount</w:t>
            </w:r>
          </w:p>
        </w:tc>
        <w:tc>
          <w:tcPr>
            <w:tcW w:w="1300" w:type="dxa"/>
            <w:vAlign w:val="bottom"/>
            <w:gridSpan w:val="2"/>
          </w:tcPr>
          <w:p>
            <w:pPr>
              <w:ind w:left="340"/>
              <w:spacing w:after="0" w:line="169" w:lineRule="exact"/>
              <w:rPr>
                <w:sz w:val="20"/>
                <w:szCs w:val="20"/>
                <w:color w:val="auto"/>
              </w:rPr>
            </w:pPr>
            <w:r>
              <w:rPr>
                <w:rFonts w:ascii="Times New Roman" w:cs="Times New Roman" w:eastAsia="Times New Roman" w:hAnsi="Times New Roman"/>
                <w:sz w:val="18"/>
                <w:szCs w:val="18"/>
                <w:color w:val="auto"/>
              </w:rPr>
              <w:t>Percent</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auto"/>
                <w:w w:val="98"/>
              </w:rPr>
              <w:t>Amount</w:t>
            </w:r>
          </w:p>
        </w:tc>
        <w:tc>
          <w:tcPr>
            <w:tcW w:w="1300" w:type="dxa"/>
            <w:vAlign w:val="bottom"/>
            <w:gridSpan w:val="2"/>
          </w:tcPr>
          <w:p>
            <w:pPr>
              <w:ind w:left="340"/>
              <w:spacing w:after="0" w:line="169" w:lineRule="exact"/>
              <w:rPr>
                <w:sz w:val="20"/>
                <w:szCs w:val="20"/>
                <w:color w:val="auto"/>
              </w:rPr>
            </w:pPr>
            <w:r>
              <w:rPr>
                <w:rFonts w:ascii="Times New Roman" w:cs="Times New Roman" w:eastAsia="Times New Roman" w:hAnsi="Times New Roman"/>
                <w:sz w:val="18"/>
                <w:szCs w:val="18"/>
                <w:color w:val="auto"/>
              </w:rPr>
              <w:t>Percent</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auto"/>
                <w:w w:val="98"/>
              </w:rPr>
              <w:t>Amount</w:t>
            </w:r>
          </w:p>
        </w:tc>
        <w:tc>
          <w:tcPr>
            <w:tcW w:w="120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Percent</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government and federal agency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255,930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428,907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20" w:type="dxa"/>
            <w:vAlign w:val="bottom"/>
            <w:shd w:val="clear" w:color="auto" w:fill="CCEEFF"/>
          </w:tcPr>
          <w:p>
            <w:pPr>
              <w:spacing w:after="0"/>
              <w:rPr>
                <w:sz w:val="21"/>
                <w:szCs w:val="21"/>
                <w:color w:val="auto"/>
              </w:rPr>
            </w:pPr>
          </w:p>
        </w:tc>
        <w:tc>
          <w:tcPr>
            <w:tcW w:w="3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sponsored enterprises</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124,781</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312,488</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319,647</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20" w:type="dxa"/>
            <w:vAlign w:val="bottom"/>
          </w:tcPr>
          <w:p>
            <w:pPr>
              <w:spacing w:after="0"/>
              <w:rPr>
                <w:sz w:val="21"/>
                <w:szCs w:val="21"/>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120,463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164,084</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69,714</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20" w:type="dxa"/>
            <w:vAlign w:val="bottom"/>
            <w:shd w:val="clear" w:color="auto" w:fill="CCEEFF"/>
          </w:tcPr>
          <w:p>
            <w:pPr>
              <w:spacing w:after="0"/>
              <w:rPr>
                <w:sz w:val="21"/>
                <w:szCs w:val="21"/>
                <w:color w:val="auto"/>
              </w:rPr>
            </w:pPr>
          </w:p>
        </w:tc>
        <w:tc>
          <w:tcPr>
            <w:tcW w:w="3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33,949</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14,714</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20" w:type="dxa"/>
            <w:vAlign w:val="bottom"/>
          </w:tcPr>
          <w:p>
            <w:pPr>
              <w:spacing w:after="0"/>
              <w:rPr>
                <w:sz w:val="21"/>
                <w:szCs w:val="21"/>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1,813,700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2,215,119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2,104,053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43"/>
        </w:trPr>
        <w:tc>
          <w:tcPr>
            <w:tcW w:w="20" w:type="dxa"/>
            <w:vAlign w:val="bottom"/>
            <w:shd w:val="clear" w:color="auto" w:fill="CCEEFF"/>
          </w:tcPr>
          <w:p>
            <w:pPr>
              <w:spacing w:after="0"/>
              <w:rPr>
                <w:sz w:val="21"/>
                <w:szCs w:val="21"/>
                <w:color w:val="auto"/>
              </w:rPr>
            </w:pPr>
          </w:p>
        </w:tc>
        <w:tc>
          <w:tcPr>
            <w:tcW w:w="3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1,461,541</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1,025,942</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979,154</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7"/>
        </w:trPr>
        <w:tc>
          <w:tcPr>
            <w:tcW w:w="20" w:type="dxa"/>
            <w:vAlign w:val="bottom"/>
          </w:tcPr>
          <w:p>
            <w:pPr>
              <w:spacing w:after="0"/>
              <w:rPr>
                <w:sz w:val="20"/>
                <w:szCs w:val="20"/>
                <w:color w:val="auto"/>
              </w:rPr>
            </w:pPr>
          </w:p>
        </w:tc>
        <w:tc>
          <w:tcPr>
            <w:tcW w:w="3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available-for-sale</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3,595,063</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4,007,512</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3,916,189</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43"/>
        </w:trPr>
        <w:tc>
          <w:tcPr>
            <w:tcW w:w="20" w:type="dxa"/>
            <w:vAlign w:val="bottom"/>
            <w:shd w:val="clear" w:color="auto" w:fill="CCEEFF"/>
          </w:tcPr>
          <w:p>
            <w:pPr>
              <w:spacing w:after="0"/>
              <w:rPr>
                <w:sz w:val="21"/>
                <w:szCs w:val="21"/>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government and federal agency</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730,397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865,696</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864,115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20" w:type="dxa"/>
            <w:vAlign w:val="bottom"/>
            <w:shd w:val="clear" w:color="auto" w:fill="CCEEFF"/>
          </w:tcPr>
          <w:p>
            <w:pPr>
              <w:spacing w:after="0"/>
              <w:rPr>
                <w:sz w:val="21"/>
                <w:szCs w:val="21"/>
                <w:color w:val="auto"/>
              </w:rPr>
            </w:pPr>
          </w:p>
        </w:tc>
        <w:tc>
          <w:tcPr>
            <w:tcW w:w="3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1,553,434</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1,587,673</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1,593,115</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3"/>
        </w:trPr>
        <w:tc>
          <w:tcPr>
            <w:tcW w:w="20" w:type="dxa"/>
            <w:vAlign w:val="bottom"/>
            <w:tcBorders>
              <w:bottom w:val="single" w:sz="8" w:color="CCEEFF"/>
            </w:tcBorders>
          </w:tcPr>
          <w:p>
            <w:pPr>
              <w:spacing w:after="0"/>
              <w:rPr>
                <w:sz w:val="21"/>
                <w:szCs w:val="21"/>
                <w:color w:val="auto"/>
              </w:rPr>
            </w:pPr>
          </w:p>
        </w:tc>
        <w:tc>
          <w:tcPr>
            <w:tcW w:w="34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534,102</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656,847</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698,671</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7"/>
        </w:trPr>
        <w:tc>
          <w:tcPr>
            <w:tcW w:w="20" w:type="dxa"/>
            <w:vAlign w:val="bottom"/>
            <w:shd w:val="clear" w:color="auto" w:fill="CCEEFF"/>
          </w:tcPr>
          <w:p>
            <w:pPr>
              <w:spacing w:after="0"/>
              <w:rPr>
                <w:sz w:val="20"/>
                <w:szCs w:val="20"/>
                <w:color w:val="auto"/>
              </w:rPr>
            </w:pPr>
          </w:p>
        </w:tc>
        <w:tc>
          <w:tcPr>
            <w:tcW w:w="3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held-to-maturity</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2,817,933</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3,110,216</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3,155,901</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43"/>
        </w:trPr>
        <w:tc>
          <w:tcPr>
            <w:tcW w:w="20" w:type="dxa"/>
            <w:vAlign w:val="bottom"/>
          </w:tcPr>
          <w:p>
            <w:pPr>
              <w:spacing w:after="0"/>
              <w:rPr>
                <w:sz w:val="21"/>
                <w:szCs w:val="21"/>
                <w:color w:val="auto"/>
              </w:rPr>
            </w:pPr>
          </w:p>
        </w:tc>
        <w:tc>
          <w:tcPr>
            <w:tcW w:w="3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debt securities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6,412,996</w:t>
            </w: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7,117,728</w:t>
            </w: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7,072,090</w:t>
            </w: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debt securities were primarily comprised of U.S. government and federal agency and mortgage-backed securities. State and local government securities are largely exempt from federal income tax and the Company’s federal statutory income tax rate of 21 percent is used in calculating the tax-equivalent yields on the tax-exempt securities. Mortgage-backed securities largely consists of short weighted-average life U.S. agency guaranteed residential and commercial mortgage pass-through securities and to a lesser extent, short weighted-average life U.S. agency guaranteed residential collateralized mortgage obligations. Combined, the mortgage-backed securities provide the Company with ongoing liquidity as scheduled and pre-paid principal is received on the securities.</w:t>
      </w:r>
    </w:p>
    <w:p>
      <w:pPr>
        <w:spacing w:after="0" w:line="2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State and local government securities carry different risks that are not as prevalent in other security types. The Company evaluates the investment grade quality of its securities in accordance with regulatory guidance. Investment grade securities are those where the issuer has an adequate capacity to meet the financial commitments under the security for the projected life of the investment. An issuer has an adequate capacity to meet financial commitments if the risk of default by the obligor is low and the full and timely payment of principal and interest are expected. In assessing credit risk, the Company may use credit ratings from NRSRO entities such as S&amp;P and Moody’s as support for the evaluation; however, they are not solely relied upon. There have been no significant differences in the Company’s internal evaluation of the creditworthiness of any issuer when compared with the ratings assigned by the NRSROs.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4" w:name="page65"/>
    <w:bookmarkEnd w:id="64"/>
    <w:p>
      <w:pPr>
        <w:spacing w:after="0" w:line="281" w:lineRule="auto"/>
        <w:rPr>
          <w:sz w:val="20"/>
          <w:szCs w:val="20"/>
          <w:color w:val="auto"/>
        </w:rPr>
      </w:pPr>
      <w:r>
        <w:rPr>
          <w:rFonts w:ascii="Times New Roman" w:cs="Times New Roman" w:eastAsia="Times New Roman" w:hAnsi="Times New Roman"/>
          <w:sz w:val="18"/>
          <w:szCs w:val="18"/>
          <w:color w:val="auto"/>
        </w:rPr>
        <w:t>The following table stratifies the state and local government securities by the associated NRSRO ratings. The highest issued rating was used to categorize the securities in the table for those securities where the NRSRO ratings were not at the same level.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September 30, 2026</w:t>
            </w:r>
          </w:p>
        </w:tc>
        <w:tc>
          <w:tcPr>
            <w:tcW w:w="100" w:type="dxa"/>
            <w:vAlign w:val="bottom"/>
          </w:tcPr>
          <w:p>
            <w:pPr>
              <w:spacing w:after="0"/>
              <w:rPr>
                <w:sz w:val="20"/>
                <w:szCs w:val="20"/>
                <w:color w:val="auto"/>
              </w:rPr>
            </w:pPr>
          </w:p>
        </w:tc>
        <w:tc>
          <w:tcPr>
            <w:tcW w:w="298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line="182" w:lineRule="exact"/>
              <w:rPr>
                <w:sz w:val="20"/>
                <w:szCs w:val="20"/>
                <w:color w:val="auto"/>
              </w:rPr>
            </w:pPr>
            <w:r>
              <w:rPr>
                <w:rFonts w:ascii="Times New Roman" w:cs="Times New Roman" w:eastAsia="Times New Roman" w:hAnsi="Times New Roman"/>
                <w:sz w:val="18"/>
                <w:szCs w:val="18"/>
                <w:color w:val="auto"/>
              </w:rPr>
              <w:t>Amortized</w:t>
            </w:r>
          </w:p>
        </w:tc>
        <w:tc>
          <w:tcPr>
            <w:tcW w:w="152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rPr>
              <w:t>Fair</w:t>
            </w:r>
          </w:p>
        </w:tc>
        <w:tc>
          <w:tcPr>
            <w:tcW w:w="154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color w:val="auto"/>
              </w:rPr>
              <w:t>Amortized</w:t>
            </w:r>
          </w:p>
        </w:tc>
        <w:tc>
          <w:tcPr>
            <w:tcW w:w="144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color w:val="auto"/>
              </w:rPr>
              <w:t>Fair</w:t>
            </w:r>
          </w:p>
        </w:tc>
      </w:tr>
      <w:tr>
        <w:trPr>
          <w:trHeight w:val="189"/>
        </w:trPr>
        <w:tc>
          <w:tcPr>
            <w:tcW w:w="2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auto"/>
              </w:rPr>
              <w:t>Cost</w:t>
            </w:r>
          </w:p>
        </w:tc>
        <w:tc>
          <w:tcPr>
            <w:tcW w:w="15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7"/>
              </w:rPr>
              <w:t>Value</w:t>
            </w:r>
          </w:p>
        </w:tc>
        <w:tc>
          <w:tcPr>
            <w:tcW w:w="154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rPr>
              <w:t>Cost</w:t>
            </w:r>
          </w:p>
        </w:tc>
        <w:tc>
          <w:tcPr>
            <w:tcW w:w="1440" w:type="dxa"/>
            <w:vAlign w:val="bottom"/>
          </w:tcPr>
          <w:p>
            <w:pPr>
              <w:jc w:val="right"/>
              <w:ind w:right="430"/>
              <w:spacing w:after="0" w:line="189" w:lineRule="exact"/>
              <w:rPr>
                <w:sz w:val="20"/>
                <w:szCs w:val="20"/>
                <w:color w:val="auto"/>
              </w:rPr>
            </w:pPr>
            <w:r>
              <w:rPr>
                <w:rFonts w:ascii="Times New Roman" w:cs="Times New Roman" w:eastAsia="Times New Roman" w:hAnsi="Times New Roman"/>
                <w:sz w:val="18"/>
                <w:szCs w:val="18"/>
                <w:color w:val="auto"/>
              </w:rPr>
              <w:t>Value</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AAA / Moody’s: Aaa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434,514</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371,261</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470,591</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430,538</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 AA+, AA, AA- / Moody’s: Aa1, Aa2, Aa3</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1,191,180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995,036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1,228,601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1,093,684</w:t>
            </w:r>
          </w:p>
        </w:tc>
      </w:tr>
      <w:tr>
        <w:trPr>
          <w:trHeight w:val="243"/>
        </w:trPr>
        <w:tc>
          <w:tcPr>
            <w:tcW w:w="20" w:type="dxa"/>
            <w:vAlign w:val="bottom"/>
            <w:shd w:val="clear" w:color="auto" w:fill="CCEEFF"/>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A+, A, A- / Moody’s: A1, A2, A3</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33,002</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45,339</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45,083</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 BBB+, BBB, BBB- / Moody’s: Baa1, Baa2, Baa3</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rated by either entity</w:t>
            </w: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20,675</w:t>
            </w:r>
          </w:p>
        </w:tc>
        <w:tc>
          <w:tcPr>
            <w:tcW w:w="12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1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w:t>
            </w:r>
          </w:p>
        </w:tc>
      </w:tr>
      <w:tr>
        <w:trPr>
          <w:trHeight w:val="237"/>
        </w:trPr>
        <w:tc>
          <w:tcPr>
            <w:tcW w:w="20" w:type="dxa"/>
            <w:vAlign w:val="bottom"/>
          </w:tcPr>
          <w:p>
            <w:pPr>
              <w:spacing w:after="0"/>
              <w:rPr>
                <w:sz w:val="20"/>
                <w:szCs w:val="20"/>
                <w:color w:val="auto"/>
              </w:rPr>
            </w:pPr>
          </w:p>
        </w:tc>
        <w:tc>
          <w:tcPr>
            <w:tcW w:w="5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1,680,389</w:t>
            </w:r>
          </w:p>
        </w:tc>
        <w:tc>
          <w:tcPr>
            <w:tcW w:w="1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1,416,848</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1,752,978</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1,577,475</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State and local government securities largely consist of general obligation and revenue bonds. The following table stratifies the state and local government securities by the associated security type.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September 30, 2026</w:t>
            </w:r>
          </w:p>
        </w:tc>
        <w:tc>
          <w:tcPr>
            <w:tcW w:w="100" w:type="dxa"/>
            <w:vAlign w:val="bottom"/>
          </w:tcPr>
          <w:p>
            <w:pPr>
              <w:spacing w:after="0"/>
              <w:rPr>
                <w:sz w:val="20"/>
                <w:szCs w:val="20"/>
                <w:color w:val="auto"/>
              </w:rPr>
            </w:pPr>
          </w:p>
        </w:tc>
        <w:tc>
          <w:tcPr>
            <w:tcW w:w="298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line="182" w:lineRule="exact"/>
              <w:rPr>
                <w:sz w:val="20"/>
                <w:szCs w:val="20"/>
                <w:color w:val="auto"/>
              </w:rPr>
            </w:pPr>
            <w:r>
              <w:rPr>
                <w:rFonts w:ascii="Times New Roman" w:cs="Times New Roman" w:eastAsia="Times New Roman" w:hAnsi="Times New Roman"/>
                <w:sz w:val="18"/>
                <w:szCs w:val="18"/>
                <w:color w:val="auto"/>
              </w:rPr>
              <w:t>Amortized</w:t>
            </w:r>
          </w:p>
        </w:tc>
        <w:tc>
          <w:tcPr>
            <w:tcW w:w="152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rPr>
              <w:t>Fair</w:t>
            </w:r>
          </w:p>
        </w:tc>
        <w:tc>
          <w:tcPr>
            <w:tcW w:w="154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color w:val="auto"/>
              </w:rPr>
              <w:t>Amortized</w:t>
            </w:r>
          </w:p>
        </w:tc>
        <w:tc>
          <w:tcPr>
            <w:tcW w:w="144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color w:val="auto"/>
              </w:rPr>
              <w:t>Fair</w:t>
            </w:r>
          </w:p>
        </w:tc>
      </w:tr>
      <w:tr>
        <w:trPr>
          <w:trHeight w:val="189"/>
        </w:trPr>
        <w:tc>
          <w:tcPr>
            <w:tcW w:w="2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auto"/>
              </w:rPr>
              <w:t>Cost</w:t>
            </w:r>
          </w:p>
        </w:tc>
        <w:tc>
          <w:tcPr>
            <w:tcW w:w="15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7"/>
              </w:rPr>
              <w:t>Value</w:t>
            </w:r>
          </w:p>
        </w:tc>
        <w:tc>
          <w:tcPr>
            <w:tcW w:w="154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rPr>
              <w:t>Cost</w:t>
            </w:r>
          </w:p>
        </w:tc>
        <w:tc>
          <w:tcPr>
            <w:tcW w:w="1440" w:type="dxa"/>
            <w:vAlign w:val="bottom"/>
          </w:tcPr>
          <w:p>
            <w:pPr>
              <w:jc w:val="right"/>
              <w:ind w:right="430"/>
              <w:spacing w:after="0" w:line="189" w:lineRule="exact"/>
              <w:rPr>
                <w:sz w:val="20"/>
                <w:szCs w:val="20"/>
                <w:color w:val="auto"/>
              </w:rPr>
            </w:pPr>
            <w:r>
              <w:rPr>
                <w:rFonts w:ascii="Times New Roman" w:cs="Times New Roman" w:eastAsia="Times New Roman" w:hAnsi="Times New Roman"/>
                <w:sz w:val="18"/>
                <w:szCs w:val="18"/>
                <w:color w:val="auto"/>
              </w:rPr>
              <w:t>Value</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obligation - unlimited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318,472</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286,312</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368,095</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348,356</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obligation - limited</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191,307</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162,350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204,370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185,810</w:t>
            </w:r>
          </w:p>
        </w:tc>
      </w:tr>
      <w:tr>
        <w:trPr>
          <w:trHeight w:val="243"/>
        </w:trPr>
        <w:tc>
          <w:tcPr>
            <w:tcW w:w="20" w:type="dxa"/>
            <w:vAlign w:val="bottom"/>
            <w:shd w:val="clear" w:color="auto" w:fill="CCEEFF"/>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1,132,432</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935,133</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1,142,091</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1,008,112</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participation</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34,897</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31,854</w:t>
            </w:r>
          </w:p>
        </w:tc>
      </w:tr>
      <w:tr>
        <w:trPr>
          <w:trHeight w:val="243"/>
        </w:trPr>
        <w:tc>
          <w:tcPr>
            <w:tcW w:w="20" w:type="dxa"/>
            <w:vAlign w:val="bottom"/>
            <w:shd w:val="clear" w:color="auto" w:fill="CCEEFF"/>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2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r>
      <w:tr>
        <w:trPr>
          <w:trHeight w:val="236"/>
        </w:trPr>
        <w:tc>
          <w:tcPr>
            <w:tcW w:w="20" w:type="dxa"/>
            <w:vAlign w:val="bottom"/>
          </w:tcPr>
          <w:p>
            <w:pPr>
              <w:spacing w:after="0"/>
              <w:rPr>
                <w:sz w:val="20"/>
                <w:szCs w:val="20"/>
                <w:color w:val="auto"/>
              </w:rPr>
            </w:pPr>
          </w:p>
        </w:tc>
        <w:tc>
          <w:tcPr>
            <w:tcW w:w="5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1,680,389</w:t>
            </w:r>
          </w:p>
        </w:tc>
        <w:tc>
          <w:tcPr>
            <w:tcW w:w="1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1,416,848</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1,752,978</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1,577,475</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the five states in which the Company owns the highest concentrations of state and local government securities.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September 30, 2026</w:t>
            </w:r>
          </w:p>
        </w:tc>
        <w:tc>
          <w:tcPr>
            <w:tcW w:w="100" w:type="dxa"/>
            <w:vAlign w:val="bottom"/>
          </w:tcPr>
          <w:p>
            <w:pPr>
              <w:spacing w:after="0"/>
              <w:rPr>
                <w:sz w:val="20"/>
                <w:szCs w:val="20"/>
                <w:color w:val="auto"/>
              </w:rPr>
            </w:pPr>
          </w:p>
        </w:tc>
        <w:tc>
          <w:tcPr>
            <w:tcW w:w="298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191"/>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520" w:type="dxa"/>
            <w:vAlign w:val="bottom"/>
            <w:gridSpan w:val="2"/>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1540" w:type="dxa"/>
            <w:vAlign w:val="bottom"/>
            <w:gridSpan w:val="2"/>
          </w:tcPr>
          <w:p>
            <w:pPr>
              <w:jc w:val="center"/>
              <w:ind w:right="8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440" w:type="dxa"/>
            <w:vAlign w:val="bottom"/>
          </w:tcPr>
          <w:p>
            <w:pPr>
              <w:jc w:val="right"/>
              <w:ind w:right="490"/>
              <w:spacing w:after="0" w:line="191" w:lineRule="exact"/>
              <w:rPr>
                <w:sz w:val="20"/>
                <w:szCs w:val="20"/>
                <w:color w:val="auto"/>
              </w:rPr>
            </w:pPr>
            <w:r>
              <w:rPr>
                <w:rFonts w:ascii="Times New Roman" w:cs="Times New Roman" w:eastAsia="Times New Roman" w:hAnsi="Times New Roman"/>
                <w:sz w:val="18"/>
                <w:szCs w:val="18"/>
                <w:color w:val="auto"/>
              </w:rPr>
              <w:t>Fair</w:t>
            </w:r>
          </w:p>
        </w:tc>
      </w:tr>
      <w:tr>
        <w:trPr>
          <w:trHeight w:val="180"/>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5"/>
                <w:szCs w:val="15"/>
                <w:color w:val="auto"/>
              </w:rPr>
            </w:pPr>
          </w:p>
        </w:tc>
        <w:tc>
          <w:tcPr>
            <w:tcW w:w="132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8"/>
                <w:szCs w:val="18"/>
                <w:color w:val="auto"/>
              </w:rPr>
              <w:t>Cost</w:t>
            </w:r>
          </w:p>
        </w:tc>
        <w:tc>
          <w:tcPr>
            <w:tcW w:w="15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8"/>
                <w:szCs w:val="18"/>
                <w:color w:val="auto"/>
                <w:w w:val="97"/>
              </w:rPr>
              <w:t>Value</w:t>
            </w:r>
          </w:p>
        </w:tc>
        <w:tc>
          <w:tcPr>
            <w:tcW w:w="15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8"/>
                <w:szCs w:val="18"/>
                <w:color w:val="auto"/>
              </w:rPr>
              <w:t>Cost</w:t>
            </w:r>
          </w:p>
        </w:tc>
        <w:tc>
          <w:tcPr>
            <w:tcW w:w="1440" w:type="dxa"/>
            <w:vAlign w:val="bottom"/>
          </w:tcPr>
          <w:p>
            <w:pPr>
              <w:jc w:val="right"/>
              <w:ind w:right="430"/>
              <w:spacing w:after="0" w:line="160" w:lineRule="exact"/>
              <w:rPr>
                <w:sz w:val="20"/>
                <w:szCs w:val="20"/>
                <w:color w:val="auto"/>
              </w:rPr>
            </w:pPr>
            <w:r>
              <w:rPr>
                <w:rFonts w:ascii="Times New Roman" w:cs="Times New Roman" w:eastAsia="Times New Roman" w:hAnsi="Times New Roman"/>
                <w:sz w:val="18"/>
                <w:szCs w:val="18"/>
                <w:color w:val="auto"/>
              </w:rPr>
              <w:t>Value</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366,664</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310,264</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367,478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332,746</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172,756</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152,474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204,775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194,031</w:t>
            </w:r>
          </w:p>
        </w:tc>
      </w:tr>
      <w:tr>
        <w:trPr>
          <w:trHeight w:val="243"/>
        </w:trPr>
        <w:tc>
          <w:tcPr>
            <w:tcW w:w="20" w:type="dxa"/>
            <w:vAlign w:val="bottom"/>
            <w:shd w:val="clear" w:color="auto" w:fill="CCEEFF"/>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106,367</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93,425</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108,915</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101,273</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Washington</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85,668</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78,960</w:t>
            </w:r>
          </w:p>
        </w:tc>
      </w:tr>
      <w:tr>
        <w:trPr>
          <w:trHeight w:val="243"/>
        </w:trPr>
        <w:tc>
          <w:tcPr>
            <w:tcW w:w="20" w:type="dxa"/>
            <w:vAlign w:val="bottom"/>
            <w:shd w:val="clear" w:color="auto" w:fill="CCEEFF"/>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Colorado</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77,067</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65,136</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77,665</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68,872</w:t>
            </w:r>
          </w:p>
        </w:tc>
      </w:tr>
      <w:tr>
        <w:trPr>
          <w:trHeight w:val="243"/>
        </w:trPr>
        <w:tc>
          <w:tcPr>
            <w:tcW w:w="20" w:type="dxa"/>
            <w:vAlign w:val="bottom"/>
            <w:tcBorders>
              <w:bottom w:val="single" w:sz="8" w:color="CCEEFF"/>
            </w:tcBorders>
          </w:tcPr>
          <w:p>
            <w:pPr>
              <w:spacing w:after="0"/>
              <w:rPr>
                <w:sz w:val="21"/>
                <w:szCs w:val="21"/>
                <w:color w:val="auto"/>
              </w:rPr>
            </w:pPr>
          </w:p>
        </w:tc>
        <w:tc>
          <w:tcPr>
            <w:tcW w:w="5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All other states</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871,867</w:t>
            </w:r>
          </w:p>
        </w:tc>
        <w:tc>
          <w:tcPr>
            <w:tcW w:w="12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720,317</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907,512</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801,593</w:t>
            </w: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1,680,389</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1,416,848</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1,752,978</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1,577,475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5" w:name="page66"/>
    <w:bookmarkEnd w:id="65"/>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carrying amount and weighted-average yield of AFS (at fair value) and HTM (at amortized cost) debt securities by contractual maturity at September 30, 2026. Weighted-average yields are based upon the amortized cost of securities and are calculated using the interest method which takes into consideration premium amortization, discount accretion and mortgage-backed securities’ prepayment provisions. Weighted-average yields on tax-exempt debt securities exclude the federal income tax benefit.</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One Year or Less</w:t>
            </w:r>
          </w:p>
        </w:tc>
        <w:tc>
          <w:tcPr>
            <w:tcW w:w="120" w:type="dxa"/>
            <w:vAlign w:val="bottom"/>
            <w:vMerge w:val="restart"/>
          </w:tcPr>
          <w:p>
            <w:pPr>
              <w:spacing w:after="0"/>
              <w:rPr>
                <w:sz w:val="13"/>
                <w:szCs w:val="13"/>
                <w:color w:val="auto"/>
              </w:rPr>
            </w:pPr>
          </w:p>
        </w:tc>
        <w:tc>
          <w:tcPr>
            <w:tcW w:w="1600" w:type="dxa"/>
            <w:vAlign w:val="bottom"/>
            <w:gridSpan w:val="5"/>
          </w:tcPr>
          <w:p>
            <w:pPr>
              <w:jc w:val="center"/>
              <w:ind w:right="120"/>
              <w:spacing w:after="0" w:line="159" w:lineRule="exact"/>
              <w:rPr>
                <w:sz w:val="20"/>
                <w:szCs w:val="20"/>
                <w:color w:val="auto"/>
              </w:rPr>
            </w:pPr>
            <w:r>
              <w:rPr>
                <w:rFonts w:ascii="Times New Roman" w:cs="Times New Roman" w:eastAsia="Times New Roman" w:hAnsi="Times New Roman"/>
                <w:sz w:val="14"/>
                <w:szCs w:val="14"/>
                <w:color w:val="auto"/>
              </w:rPr>
              <w:t>After One through Five</w:t>
            </w:r>
          </w:p>
        </w:tc>
        <w:tc>
          <w:tcPr>
            <w:tcW w:w="1560" w:type="dxa"/>
            <w:vAlign w:val="bottom"/>
            <w:gridSpan w:val="6"/>
          </w:tcPr>
          <w:p>
            <w:pPr>
              <w:jc w:val="center"/>
              <w:ind w:right="100"/>
              <w:spacing w:after="0" w:line="159" w:lineRule="exact"/>
              <w:rPr>
                <w:sz w:val="20"/>
                <w:szCs w:val="20"/>
                <w:color w:val="auto"/>
              </w:rPr>
            </w:pPr>
            <w:r>
              <w:rPr>
                <w:rFonts w:ascii="Times New Roman" w:cs="Times New Roman" w:eastAsia="Times New Roman" w:hAnsi="Times New Roman"/>
                <w:sz w:val="14"/>
                <w:szCs w:val="14"/>
                <w:color w:val="auto"/>
              </w:rPr>
              <w:t>After Five through Ten</w:t>
            </w:r>
          </w:p>
        </w:tc>
        <w:tc>
          <w:tcPr>
            <w:tcW w:w="160" w:type="dxa"/>
            <w:vAlign w:val="bottom"/>
          </w:tcPr>
          <w:p>
            <w:pPr>
              <w:spacing w:after="0"/>
              <w:rPr>
                <w:sz w:val="13"/>
                <w:szCs w:val="13"/>
                <w:color w:val="auto"/>
              </w:rPr>
            </w:pPr>
          </w:p>
        </w:tc>
        <w:tc>
          <w:tcPr>
            <w:tcW w:w="1420" w:type="dxa"/>
            <w:vAlign w:val="bottom"/>
            <w:gridSpan w:val="3"/>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After Ten Years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5"/>
          </w:tcPr>
          <w:p>
            <w:pPr>
              <w:jc w:val="center"/>
              <w:ind w:right="260"/>
              <w:spacing w:after="0" w:line="159" w:lineRule="exact"/>
              <w:rPr>
                <w:sz w:val="20"/>
                <w:szCs w:val="20"/>
                <w:color w:val="auto"/>
              </w:rPr>
            </w:pPr>
            <w:r>
              <w:rPr>
                <w:rFonts w:ascii="Times New Roman" w:cs="Times New Roman" w:eastAsia="Times New Roman" w:hAnsi="Times New Roman"/>
                <w:sz w:val="14"/>
                <w:szCs w:val="14"/>
                <w:color w:val="auto"/>
              </w:rPr>
              <w:t>Mortgage-Backed</w:t>
            </w:r>
          </w:p>
        </w:tc>
        <w:tc>
          <w:tcPr>
            <w:tcW w:w="160" w:type="dxa"/>
            <w:vAlign w:val="bottom"/>
          </w:tcPr>
          <w:p>
            <w:pPr>
              <w:spacing w:after="0"/>
              <w:rPr>
                <w:sz w:val="13"/>
                <w:szCs w:val="13"/>
                <w:color w:val="auto"/>
              </w:rPr>
            </w:pPr>
          </w:p>
        </w:tc>
        <w:tc>
          <w:tcPr>
            <w:tcW w:w="8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center"/>
              <w:ind w:left="368"/>
              <w:spacing w:after="0"/>
              <w:rPr>
                <w:sz w:val="20"/>
                <w:szCs w:val="20"/>
                <w:color w:val="auto"/>
              </w:rPr>
            </w:pPr>
            <w:r>
              <w:rPr>
                <w:rFonts w:ascii="Times New Roman" w:cs="Times New Roman" w:eastAsia="Times New Roman" w:hAnsi="Times New Roman"/>
                <w:sz w:val="14"/>
                <w:szCs w:val="14"/>
                <w:color w:val="auto"/>
                <w:w w:val="97"/>
              </w:rPr>
              <w:t>Years</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center"/>
              <w:ind w:left="308"/>
              <w:spacing w:after="0"/>
              <w:rPr>
                <w:sz w:val="20"/>
                <w:szCs w:val="20"/>
                <w:color w:val="auto"/>
              </w:rPr>
            </w:pPr>
            <w:r>
              <w:rPr>
                <w:rFonts w:ascii="Times New Roman" w:cs="Times New Roman" w:eastAsia="Times New Roman" w:hAnsi="Times New Roman"/>
                <w:sz w:val="14"/>
                <w:szCs w:val="14"/>
                <w:color w:val="auto"/>
                <w:w w:val="97"/>
              </w:rPr>
              <w:t>Years</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center"/>
              <w:ind w:left="228"/>
              <w:spacing w:after="0" w:line="201" w:lineRule="exact"/>
              <w:rPr>
                <w:sz w:val="20"/>
                <w:szCs w:val="20"/>
                <w:color w:val="auto"/>
              </w:rPr>
            </w:pPr>
            <w:r>
              <w:rPr>
                <w:rFonts w:ascii="Times New Roman" w:cs="Times New Roman" w:eastAsia="Times New Roman" w:hAnsi="Times New Roman"/>
                <w:sz w:val="14"/>
                <w:szCs w:val="14"/>
                <w:color w:val="auto"/>
                <w:w w:val="98"/>
              </w:rPr>
              <w:t xml:space="preserve">Securities </w:t>
            </w:r>
            <w:r>
              <w:rPr>
                <w:rFonts w:ascii="Times New Roman" w:cs="Times New Roman" w:eastAsia="Times New Roman" w:hAnsi="Times New Roman"/>
                <w:sz w:val="18"/>
                <w:szCs w:val="18"/>
                <w:color w:val="auto"/>
                <w:w w:val="98"/>
                <w:vertAlign w:val="superscript"/>
              </w:rPr>
              <w:t>1</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3"/>
                <w:szCs w:val="13"/>
                <w:color w:val="auto"/>
              </w:rPr>
            </w:pPr>
          </w:p>
        </w:tc>
        <w:tc>
          <w:tcPr>
            <w:tcW w:w="64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3"/>
                <w:szCs w:val="13"/>
                <w:color w:val="auto"/>
              </w:rPr>
            </w:pPr>
          </w:p>
        </w:tc>
        <w:tc>
          <w:tcPr>
            <w:tcW w:w="70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color w:val="auto"/>
              </w:rPr>
              <w:t>Yield</w:t>
            </w:r>
          </w:p>
        </w:tc>
        <w:tc>
          <w:tcPr>
            <w:tcW w:w="120" w:type="dxa"/>
            <w:vAlign w:val="bottom"/>
          </w:tcPr>
          <w:p>
            <w:pPr>
              <w:spacing w:after="0"/>
              <w:rPr>
                <w:sz w:val="13"/>
                <w:szCs w:val="13"/>
                <w:color w:val="auto"/>
              </w:rPr>
            </w:pPr>
          </w:p>
        </w:tc>
        <w:tc>
          <w:tcPr>
            <w:tcW w:w="80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6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rPr>
              <w:t>Yield</w:t>
            </w:r>
          </w:p>
        </w:tc>
        <w:tc>
          <w:tcPr>
            <w:tcW w:w="120" w:type="dxa"/>
            <w:vAlign w:val="bottom"/>
          </w:tcPr>
          <w:p>
            <w:pPr>
              <w:spacing w:after="0"/>
              <w:rPr>
                <w:sz w:val="13"/>
                <w:szCs w:val="13"/>
                <w:color w:val="auto"/>
              </w:rPr>
            </w:pPr>
          </w:p>
        </w:tc>
        <w:tc>
          <w:tcPr>
            <w:tcW w:w="82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62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color w:val="auto"/>
              </w:rPr>
              <w:t>Yield</w:t>
            </w:r>
          </w:p>
        </w:tc>
        <w:tc>
          <w:tcPr>
            <w:tcW w:w="160" w:type="dxa"/>
            <w:vAlign w:val="bottom"/>
          </w:tcPr>
          <w:p>
            <w:pPr>
              <w:spacing w:after="0"/>
              <w:rPr>
                <w:sz w:val="13"/>
                <w:szCs w:val="13"/>
                <w:color w:val="auto"/>
              </w:rPr>
            </w:pPr>
          </w:p>
        </w:tc>
        <w:tc>
          <w:tcPr>
            <w:tcW w:w="72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3"/>
                <w:szCs w:val="13"/>
                <w:color w:val="auto"/>
              </w:rPr>
            </w:pPr>
          </w:p>
        </w:tc>
        <w:tc>
          <w:tcPr>
            <w:tcW w:w="70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color w:val="auto"/>
              </w:rPr>
              <w:t>Yield</w:t>
            </w:r>
          </w:p>
        </w:tc>
        <w:tc>
          <w:tcPr>
            <w:tcW w:w="140" w:type="dxa"/>
            <w:vAlign w:val="bottom"/>
          </w:tcPr>
          <w:p>
            <w:pPr>
              <w:spacing w:after="0"/>
              <w:rPr>
                <w:sz w:val="13"/>
                <w:szCs w:val="13"/>
                <w:color w:val="auto"/>
              </w:rPr>
            </w:pPr>
          </w:p>
        </w:tc>
        <w:tc>
          <w:tcPr>
            <w:tcW w:w="98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5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Yield</w:t>
            </w:r>
          </w:p>
        </w:tc>
        <w:tc>
          <w:tcPr>
            <w:tcW w:w="160" w:type="dxa"/>
            <w:vAlign w:val="bottom"/>
          </w:tcPr>
          <w:p>
            <w:pPr>
              <w:spacing w:after="0"/>
              <w:rPr>
                <w:sz w:val="13"/>
                <w:szCs w:val="13"/>
                <w:color w:val="auto"/>
              </w:rPr>
            </w:pPr>
          </w:p>
        </w:tc>
        <w:tc>
          <w:tcPr>
            <w:tcW w:w="86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60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Yield</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Available-for-sale</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20" w:type="dxa"/>
            <w:vAlign w:val="bottom"/>
            <w:gridSpan w:val="2"/>
          </w:tcPr>
          <w:p>
            <w:pPr>
              <w:ind w:left="120"/>
              <w:spacing w:after="0" w:line="153" w:lineRule="exact"/>
              <w:rPr>
                <w:sz w:val="20"/>
                <w:szCs w:val="20"/>
                <w:color w:val="auto"/>
              </w:rPr>
            </w:pPr>
            <w:r>
              <w:rPr>
                <w:rFonts w:ascii="Times New Roman" w:cs="Times New Roman" w:eastAsia="Times New Roman" w:hAnsi="Times New Roman"/>
                <w:sz w:val="14"/>
                <w:szCs w:val="14"/>
                <w:color w:val="auto"/>
              </w:rPr>
              <w:t>U.S. government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10,002</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47,674</w:t>
            </w: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5,277</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63,748</w:t>
            </w: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federal agency</w:t>
            </w: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U.S. government</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115,298</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9,483</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124,781</w:t>
            </w: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sponsored enterprises</w:t>
            </w: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20" w:type="dxa"/>
            <w:vAlign w:val="bottom"/>
            <w:gridSpan w:val="2"/>
          </w:tcPr>
          <w:p>
            <w:pPr>
              <w:ind w:left="120"/>
              <w:spacing w:after="0" w:line="153" w:lineRule="exact"/>
              <w:rPr>
                <w:sz w:val="20"/>
                <w:szCs w:val="20"/>
                <w:color w:val="auto"/>
              </w:rPr>
            </w:pPr>
            <w:r>
              <w:rPr>
                <w:rFonts w:ascii="Times New Roman" w:cs="Times New Roman" w:eastAsia="Times New Roman" w:hAnsi="Times New Roman"/>
                <w:sz w:val="14"/>
                <w:szCs w:val="14"/>
                <w:color w:val="auto"/>
              </w:rPr>
              <w:t>State and local</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5,708</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25,629</w:t>
            </w: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48,818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40,308</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120,463</w:t>
            </w: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governments</w:t>
            </w: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9,238</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10,830</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20" w:type="dxa"/>
            <w:vAlign w:val="bottom"/>
            <w:gridSpan w:val="2"/>
          </w:tcPr>
          <w:p>
            <w:pPr>
              <w:ind w:left="120"/>
              <w:spacing w:after="0" w:line="153" w:lineRule="exact"/>
              <w:rPr>
                <w:sz w:val="20"/>
                <w:szCs w:val="20"/>
                <w:color w:val="auto"/>
              </w:rPr>
            </w:pPr>
            <w:r>
              <w:rPr>
                <w:rFonts w:ascii="Times New Roman" w:cs="Times New Roman" w:eastAsia="Times New Roman" w:hAnsi="Times New Roman"/>
                <w:sz w:val="14"/>
                <w:szCs w:val="14"/>
                <w:color w:val="auto"/>
              </w:rPr>
              <w:t>Residential mortgage-</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1,813,700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1,813,700</w:t>
            </w: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backed securities</w:t>
            </w: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Commercial mortgage-</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1,461,541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1,461,541</w:t>
            </w: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backed securities</w:t>
            </w: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20" w:type="dxa"/>
            <w:vAlign w:val="bottom"/>
            <w:gridSpan w:val="2"/>
          </w:tcPr>
          <w:p>
            <w:pPr>
              <w:ind w:left="200"/>
              <w:spacing w:after="0" w:line="133" w:lineRule="exact"/>
              <w:rPr>
                <w:sz w:val="20"/>
                <w:szCs w:val="20"/>
                <w:color w:val="auto"/>
              </w:rPr>
            </w:pPr>
            <w:r>
              <w:rPr>
                <w:rFonts w:ascii="Times New Roman" w:cs="Times New Roman" w:eastAsia="Times New Roman" w:hAnsi="Times New Roman"/>
                <w:sz w:val="14"/>
                <w:szCs w:val="14"/>
                <w:color w:val="auto"/>
              </w:rPr>
              <w:t>Total available-for-</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131,008</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92,024</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50,527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46,263</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3,275,241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3,595,063</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sale</w:t>
            </w: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Held-to-maturity</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20" w:type="dxa"/>
            <w:vAlign w:val="bottom"/>
            <w:gridSpan w:val="2"/>
          </w:tcPr>
          <w:p>
            <w:pPr>
              <w:ind w:left="120"/>
              <w:spacing w:after="0" w:line="153" w:lineRule="exact"/>
              <w:rPr>
                <w:sz w:val="20"/>
                <w:szCs w:val="20"/>
                <w:color w:val="auto"/>
              </w:rPr>
            </w:pPr>
            <w:r>
              <w:rPr>
                <w:rFonts w:ascii="Times New Roman" w:cs="Times New Roman" w:eastAsia="Times New Roman" w:hAnsi="Times New Roman"/>
                <w:sz w:val="14"/>
                <w:szCs w:val="14"/>
                <w:color w:val="auto"/>
              </w:rPr>
              <w:t>U.S. government and</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452,517</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277,880</w:t>
            </w: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730,397</w:t>
            </w: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federal agency</w:t>
            </w: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State and local</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6,480</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122,050</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265,966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1,158,938</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1,553,434</w:t>
            </w: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governments</w:t>
            </w: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20" w:type="dxa"/>
            <w:vAlign w:val="bottom"/>
            <w:gridSpan w:val="2"/>
          </w:tcPr>
          <w:p>
            <w:pPr>
              <w:ind w:left="120"/>
              <w:spacing w:after="0" w:line="153" w:lineRule="exact"/>
              <w:rPr>
                <w:sz w:val="20"/>
                <w:szCs w:val="20"/>
                <w:color w:val="auto"/>
              </w:rPr>
            </w:pPr>
            <w:r>
              <w:rPr>
                <w:rFonts w:ascii="Times New Roman" w:cs="Times New Roman" w:eastAsia="Times New Roman" w:hAnsi="Times New Roman"/>
                <w:sz w:val="14"/>
                <w:szCs w:val="14"/>
                <w:color w:val="auto"/>
              </w:rPr>
              <w:t>Residential mortgage-</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534,102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534,102</w:t>
            </w: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backed securities</w:t>
            </w: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held-to-maturity</w:t>
            </w: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458,997</w:t>
            </w:r>
          </w:p>
        </w:tc>
        <w:tc>
          <w:tcPr>
            <w:tcW w:w="6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399,930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1,158,938</w:t>
            </w:r>
          </w:p>
        </w:tc>
        <w:tc>
          <w:tcPr>
            <w:tcW w:w="7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534,102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2,817,933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20" w:type="dxa"/>
            <w:vAlign w:val="bottom"/>
            <w:gridSpan w:val="2"/>
          </w:tcPr>
          <w:p>
            <w:pPr>
              <w:ind w:left="200"/>
              <w:spacing w:after="0" w:line="153" w:lineRule="exact"/>
              <w:rPr>
                <w:sz w:val="20"/>
                <w:szCs w:val="20"/>
                <w:color w:val="auto"/>
              </w:rPr>
            </w:pPr>
            <w:r>
              <w:rPr>
                <w:rFonts w:ascii="Times New Roman" w:cs="Times New Roman" w:eastAsia="Times New Roman" w:hAnsi="Times New Roman"/>
                <w:sz w:val="14"/>
                <w:szCs w:val="14"/>
                <w:color w:val="auto"/>
              </w:rPr>
              <w:t>Total debt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590,005</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491,954</w:t>
            </w: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316,493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1,205,201</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3,809,343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3"/>
                <w:szCs w:val="13"/>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6,412,996</w:t>
            </w: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left="120" w:hanging="112"/>
        <w:spacing w:after="0"/>
        <w:tabs>
          <w:tab w:leader="none" w:pos="1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Mortgage-backed securities, which have prepayment provisions, are not assigned to maturity categories due to fluctuations in their prepayment speeds.</w:t>
      </w: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an analysis of its AFS debt securities with unrealized losses as of September 30, 2026, the Company determined the decline in value was unrelated to credit loss and was primarily the result of interest rate changes and market spreads subsequent to acquisition. The fair value of the debt securities is expected to recover as payments are received and the debt securities approach maturity. In addition, the Company determined an insignificant amount of credit losses is expected on the HTM debt securities portfolio; therefore, no ACL has been recognized at September 30, 2026 on either category.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Company’s debt securities, see Note 2 to the Unaudited Condensed Consolidated Financial Statements in “Part I. 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Lending Activity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focuses its lending activities primarily on the following types of loans: 1) first-mortgage, conventional loans secured by residential properties, particularly single-family; 2) commercial lending, including agriculture and public entities; and 3) installment lending for consumer purposes (e.g., home equity, automobile, etc.). Loan information included in this section of “Part I. Item 2. Management’s Discussion and Analysis of Financial Condition and Results of Operations” is based on the Company’s loan segments, which are based on the purpose of the loan, unless otherwise noted as a regulatory classification. Supplemental information regarding the Company’s loan portfolio and credit quality based on regulatory classification of loans is provided in the section captioned “Loans by Regulatory Classification” included in “Part I. Item 2. Management’s Discussion and Analysis of Financial Condition and Results of Operations.” The regulatory classification of loans is based primarily on the type of collateral for the loans. The following table summarizes the Company’s loan portfolio as of the dates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 2026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183"/>
        </w:trPr>
        <w:tc>
          <w:tcPr>
            <w:tcW w:w="2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5"/>
                <w:szCs w:val="15"/>
                <w:color w:val="auto"/>
              </w:rPr>
            </w:pPr>
          </w:p>
        </w:tc>
        <w:tc>
          <w:tcPr>
            <w:tcW w:w="1120" w:type="dxa"/>
            <w:vAlign w:val="bottom"/>
            <w:gridSpan w:val="2"/>
          </w:tcPr>
          <w:p>
            <w:pPr>
              <w:ind w:left="120"/>
              <w:spacing w:after="0" w:line="169" w:lineRule="exact"/>
              <w:rPr>
                <w:sz w:val="20"/>
                <w:szCs w:val="20"/>
                <w:color w:val="auto"/>
              </w:rPr>
            </w:pPr>
            <w:r>
              <w:rPr>
                <w:rFonts w:ascii="Times New Roman" w:cs="Times New Roman" w:eastAsia="Times New Roman" w:hAnsi="Times New Roman"/>
                <w:sz w:val="18"/>
                <w:szCs w:val="18"/>
                <w:color w:val="auto"/>
              </w:rPr>
              <w:t>Amount</w:t>
            </w:r>
          </w:p>
        </w:tc>
        <w:tc>
          <w:tcPr>
            <w:tcW w:w="1420" w:type="dxa"/>
            <w:vAlign w:val="bottom"/>
            <w:gridSpan w:val="2"/>
          </w:tcPr>
          <w:p>
            <w:pPr>
              <w:ind w:left="380"/>
              <w:spacing w:after="0" w:line="169" w:lineRule="exact"/>
              <w:rPr>
                <w:sz w:val="20"/>
                <w:szCs w:val="20"/>
                <w:color w:val="auto"/>
              </w:rPr>
            </w:pPr>
            <w:r>
              <w:rPr>
                <w:rFonts w:ascii="Times New Roman" w:cs="Times New Roman" w:eastAsia="Times New Roman" w:hAnsi="Times New Roman"/>
                <w:sz w:val="18"/>
                <w:szCs w:val="18"/>
                <w:color w:val="auto"/>
              </w:rPr>
              <w:t>Percent</w:t>
            </w:r>
          </w:p>
        </w:tc>
        <w:tc>
          <w:tcPr>
            <w:tcW w:w="220" w:type="dxa"/>
            <w:vAlign w:val="bottom"/>
          </w:tcPr>
          <w:p>
            <w:pPr>
              <w:spacing w:after="0"/>
              <w:rPr>
                <w:sz w:val="15"/>
                <w:szCs w:val="15"/>
                <w:color w:val="auto"/>
              </w:rPr>
            </w:pPr>
          </w:p>
        </w:tc>
        <w:tc>
          <w:tcPr>
            <w:tcW w:w="110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Amount</w:t>
            </w:r>
          </w:p>
        </w:tc>
        <w:tc>
          <w:tcPr>
            <w:tcW w:w="1440" w:type="dxa"/>
            <w:vAlign w:val="bottom"/>
            <w:gridSpan w:val="2"/>
          </w:tcPr>
          <w:p>
            <w:pPr>
              <w:ind w:left="400"/>
              <w:spacing w:after="0" w:line="169" w:lineRule="exact"/>
              <w:rPr>
                <w:sz w:val="20"/>
                <w:szCs w:val="20"/>
                <w:color w:val="auto"/>
              </w:rPr>
            </w:pPr>
            <w:r>
              <w:rPr>
                <w:rFonts w:ascii="Times New Roman" w:cs="Times New Roman" w:eastAsia="Times New Roman" w:hAnsi="Times New Roman"/>
                <w:sz w:val="18"/>
                <w:szCs w:val="18"/>
                <w:color w:val="auto"/>
              </w:rPr>
              <w:t>Percent</w:t>
            </w:r>
          </w:p>
        </w:tc>
        <w:tc>
          <w:tcPr>
            <w:tcW w:w="200" w:type="dxa"/>
            <w:vAlign w:val="bottom"/>
          </w:tcPr>
          <w:p>
            <w:pPr>
              <w:spacing w:after="0"/>
              <w:rPr>
                <w:sz w:val="15"/>
                <w:szCs w:val="15"/>
                <w:color w:val="auto"/>
              </w:rPr>
            </w:pPr>
          </w:p>
        </w:tc>
        <w:tc>
          <w:tcPr>
            <w:tcW w:w="112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Amount</w:t>
            </w:r>
          </w:p>
        </w:tc>
        <w:tc>
          <w:tcPr>
            <w:tcW w:w="132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Percent</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real estate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2,104,815</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2,457,907</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1,926,448</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20" w:type="dxa"/>
            <w:vAlign w:val="bottom"/>
          </w:tcPr>
          <w:p>
            <w:pPr>
              <w:spacing w:after="0"/>
              <w:rPr>
                <w:sz w:val="21"/>
                <w:szCs w:val="21"/>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14,432,233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13,565,512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12,045,446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43"/>
        </w:trPr>
        <w:tc>
          <w:tcPr>
            <w:tcW w:w="20" w:type="dxa"/>
            <w:vAlign w:val="bottom"/>
            <w:shd w:val="clear" w:color="auto" w:fill="CCEEFF"/>
          </w:tcPr>
          <w:p>
            <w:pPr>
              <w:spacing w:after="0"/>
              <w:rPr>
                <w:sz w:val="21"/>
                <w:szCs w:val="21"/>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3,613,414</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3,497,829</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3,451,177</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3"/>
        </w:trPr>
        <w:tc>
          <w:tcPr>
            <w:tcW w:w="20" w:type="dxa"/>
            <w:vAlign w:val="bottom"/>
          </w:tcPr>
          <w:p>
            <w:pPr>
              <w:spacing w:after="0"/>
              <w:rPr>
                <w:sz w:val="21"/>
                <w:szCs w:val="21"/>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 equity</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1,050,852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977,206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980,472</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20" w:type="dxa"/>
            <w:vAlign w:val="bottom"/>
            <w:shd w:val="clear" w:color="auto" w:fill="CCEEFF"/>
          </w:tcPr>
          <w:p>
            <w:pPr>
              <w:spacing w:after="0"/>
              <w:rPr>
                <w:sz w:val="21"/>
                <w:szCs w:val="21"/>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consumer</w:t>
            </w: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418,216</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429,342</w:t>
            </w:r>
          </w:p>
        </w:tc>
        <w:tc>
          <w:tcPr>
            <w:tcW w:w="1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387,443</w:t>
            </w:r>
          </w:p>
        </w:tc>
        <w:tc>
          <w:tcPr>
            <w:tcW w:w="12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7"/>
        </w:trPr>
        <w:tc>
          <w:tcPr>
            <w:tcW w:w="20" w:type="dxa"/>
            <w:vAlign w:val="bottom"/>
            <w:tcBorders>
              <w:bottom w:val="single" w:sz="8" w:color="CCEEFF"/>
            </w:tcBorders>
          </w:tcPr>
          <w:p>
            <w:pPr>
              <w:spacing w:after="0"/>
              <w:rPr>
                <w:sz w:val="20"/>
                <w:szCs w:val="20"/>
                <w:color w:val="auto"/>
              </w:rPr>
            </w:pPr>
          </w:p>
        </w:tc>
        <w:tc>
          <w:tcPr>
            <w:tcW w:w="3080" w:type="dxa"/>
            <w:vAlign w:val="bottom"/>
            <w:tcBorders>
              <w:bottom w:val="single" w:sz="8" w:color="CCEEFF"/>
            </w:tcBorders>
            <w:gridSpan w:val="2"/>
          </w:tcPr>
          <w:p>
            <w:pPr>
              <w:ind w:left="340"/>
              <w:spacing w:after="0" w:line="236" w:lineRule="exact"/>
              <w:rPr>
                <w:sz w:val="20"/>
                <w:szCs w:val="20"/>
                <w:color w:val="auto"/>
              </w:rPr>
            </w:pPr>
            <w:r>
              <w:rPr>
                <w:rFonts w:ascii="Times New Roman" w:cs="Times New Roman" w:eastAsia="Times New Roman" w:hAnsi="Times New Roman"/>
                <w:sz w:val="18"/>
                <w:szCs w:val="18"/>
                <w:color w:val="auto"/>
              </w:rPr>
              <w:t xml:space="preserve">Loans receivable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21,619,530</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20,927,796</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18,790,986</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36"/>
        </w:trPr>
        <w:tc>
          <w:tcPr>
            <w:tcW w:w="2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(259,668)</w:t>
            </w:r>
          </w:p>
        </w:tc>
        <w:tc>
          <w:tcPr>
            <w:tcW w:w="100" w:type="dxa"/>
            <w:vAlign w:val="bottom"/>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(255,319)</w:t>
            </w:r>
          </w:p>
        </w:tc>
        <w:tc>
          <w:tcPr>
            <w:tcW w:w="100" w:type="dxa"/>
            <w:vAlign w:val="bottom"/>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(229,077)</w:t>
            </w:r>
          </w:p>
        </w:tc>
        <w:tc>
          <w:tcPr>
            <w:tcW w:w="120" w:type="dxa"/>
            <w:vAlign w:val="bottom"/>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0" w:type="dxa"/>
            <w:vAlign w:val="bottom"/>
          </w:tcPr>
          <w:p>
            <w:pPr>
              <w:spacing w:after="0"/>
              <w:rPr>
                <w:sz w:val="20"/>
                <w:szCs w:val="20"/>
                <w:color w:val="auto"/>
              </w:rPr>
            </w:pPr>
          </w:p>
        </w:tc>
        <w:tc>
          <w:tcPr>
            <w:tcW w:w="3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Loans receivable,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21,359,862</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20,672,477</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18,561,909</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 w:lineRule="exact"/>
        <w:rPr>
          <w:sz w:val="20"/>
          <w:szCs w:val="20"/>
          <w:color w:val="auto"/>
        </w:rPr>
      </w:pPr>
    </w:p>
    <w:p>
      <w:pPr>
        <w:ind w:left="80" w:hanging="72"/>
        <w:spacing w:after="0" w:line="224" w:lineRule="auto"/>
        <w:tabs>
          <w:tab w:leader="none" w:pos="197"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connection with the Guaranty core system conversion in the first quarter 2026, Guaranty loans were reclassified to conform to the Company’s classifications. There were approximately $236 million of loans reclassified from residential loans into other categories, the majority of which were reclassified to commercial real estate loans.</w:t>
      </w:r>
    </w:p>
    <w:p>
      <w:pPr>
        <w:spacing w:after="0" w:line="218" w:lineRule="exact"/>
        <w:rPr>
          <w:sz w:val="20"/>
          <w:szCs w:val="20"/>
          <w:color w:val="auto"/>
        </w:rPr>
      </w:pPr>
    </w:p>
    <w:p>
      <w:pPr>
        <w:ind w:left="6940" w:right="1920" w:hanging="6925"/>
        <w:spacing w:after="0" w:line="305" w:lineRule="auto"/>
        <w:rPr>
          <w:sz w:val="20"/>
          <w:szCs w:val="20"/>
          <w:color w:val="auto"/>
        </w:rPr>
      </w:pPr>
      <w:r>
        <w:rPr>
          <w:rFonts w:ascii="Times New Roman" w:cs="Times New Roman" w:eastAsia="Times New Roman" w:hAnsi="Times New Roman"/>
          <w:sz w:val="18"/>
          <w:szCs w:val="18"/>
          <w:color w:val="auto"/>
        </w:rPr>
        <w:t>The largest category of the Company’s loan portfolio is CRE. An additional breakdown of the Company’s CRE portfolio follows.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-13335</wp:posOffset>
            </wp:positionV>
            <wp:extent cx="45516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5"/>
                <w:szCs w:val="15"/>
                <w:color w:val="auto"/>
              </w:rPr>
            </w:pPr>
          </w:p>
        </w:tc>
        <w:tc>
          <w:tcPr>
            <w:tcW w:w="1620" w:type="dxa"/>
            <w:vAlign w:val="bottom"/>
            <w:gridSpan w:val="2"/>
          </w:tcPr>
          <w:p>
            <w:pPr>
              <w:ind w:left="60"/>
              <w:spacing w:after="0" w:line="161" w:lineRule="exact"/>
              <w:rPr>
                <w:sz w:val="20"/>
                <w:szCs w:val="20"/>
                <w:color w:val="auto"/>
              </w:rPr>
            </w:pPr>
            <w:r>
              <w:rPr>
                <w:rFonts w:ascii="Times New Roman" w:cs="Times New Roman" w:eastAsia="Times New Roman" w:hAnsi="Times New Roman"/>
                <w:sz w:val="18"/>
                <w:szCs w:val="18"/>
                <w:color w:val="auto"/>
              </w:rPr>
              <w:t>Owner Occupied</w:t>
            </w:r>
          </w:p>
        </w:tc>
        <w:tc>
          <w:tcPr>
            <w:tcW w:w="1780" w:type="dxa"/>
            <w:vAlign w:val="bottom"/>
            <w:gridSpan w:val="3"/>
          </w:tcPr>
          <w:p>
            <w:pPr>
              <w:ind w:left="40"/>
              <w:spacing w:after="0" w:line="161" w:lineRule="exact"/>
              <w:rPr>
                <w:sz w:val="20"/>
                <w:szCs w:val="20"/>
                <w:color w:val="auto"/>
              </w:rPr>
            </w:pPr>
            <w:r>
              <w:rPr>
                <w:rFonts w:ascii="Times New Roman" w:cs="Times New Roman" w:eastAsia="Times New Roman" w:hAnsi="Times New Roman"/>
                <w:sz w:val="18"/>
                <w:szCs w:val="18"/>
                <w:color w:val="auto"/>
              </w:rPr>
              <w:t>Non-Owner Occupied</w:t>
            </w:r>
          </w:p>
        </w:tc>
        <w:tc>
          <w:tcPr>
            <w:tcW w:w="380" w:type="dxa"/>
            <w:vAlign w:val="bottom"/>
          </w:tcPr>
          <w:p>
            <w:pPr>
              <w:spacing w:after="0"/>
              <w:rPr>
                <w:sz w:val="15"/>
                <w:szCs w:val="15"/>
                <w:color w:val="auto"/>
              </w:rPr>
            </w:pPr>
          </w:p>
        </w:tc>
        <w:tc>
          <w:tcPr>
            <w:tcW w:w="1300" w:type="dxa"/>
            <w:vAlign w:val="bottom"/>
          </w:tcPr>
          <w:p>
            <w:pPr>
              <w:jc w:val="right"/>
              <w:ind w:right="570"/>
              <w:spacing w:after="0" w:line="161" w:lineRule="exact"/>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5"/>
                <w:szCs w:val="15"/>
                <w:color w:val="auto"/>
              </w:rPr>
            </w:pPr>
          </w:p>
        </w:tc>
        <w:tc>
          <w:tcPr>
            <w:tcW w:w="1820" w:type="dxa"/>
            <w:vAlign w:val="bottom"/>
          </w:tcPr>
          <w:p>
            <w:pPr>
              <w:jc w:val="right"/>
              <w:ind w:right="70"/>
              <w:spacing w:after="0" w:line="161" w:lineRule="exact"/>
              <w:rPr>
                <w:sz w:val="20"/>
                <w:szCs w:val="20"/>
                <w:color w:val="auto"/>
              </w:rPr>
            </w:pPr>
            <w:r>
              <w:rPr>
                <w:rFonts w:ascii="Times New Roman" w:cs="Times New Roman" w:eastAsia="Times New Roman" w:hAnsi="Times New Roman"/>
                <w:sz w:val="18"/>
                <w:szCs w:val="18"/>
                <w:color w:val="auto"/>
              </w:rPr>
              <w:t>Percent of total CRE</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765,478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983,129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1,748,607</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20" w:type="dxa"/>
            <w:vAlign w:val="bottom"/>
          </w:tcPr>
          <w:p>
            <w:pPr>
              <w:spacing w:after="0"/>
              <w:rPr>
                <w:sz w:val="21"/>
                <w:szCs w:val="21"/>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1,760,702</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warehouse</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981,136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593,469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1,574,605</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20" w:type="dxa"/>
            <w:vAlign w:val="bottom"/>
          </w:tcPr>
          <w:p>
            <w:pPr>
              <w:spacing w:after="0"/>
              <w:rPr>
                <w:sz w:val="21"/>
                <w:szCs w:val="21"/>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1,417,907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1,417,907</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w:t>
            </w: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908,860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908,860</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20" w:type="dxa"/>
            <w:vAlign w:val="bottom"/>
          </w:tcPr>
          <w:p>
            <w:pPr>
              <w:spacing w:after="0"/>
              <w:rPr>
                <w:sz w:val="21"/>
                <w:szCs w:val="21"/>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 and RV Storage</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811,588</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and nursing</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374,110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340,464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714,574</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20" w:type="dxa"/>
            <w:vAlign w:val="bottom"/>
          </w:tcPr>
          <w:p>
            <w:pPr>
              <w:spacing w:after="0"/>
              <w:rPr>
                <w:sz w:val="21"/>
                <w:szCs w:val="21"/>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Agriculture real estate</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701,894</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624,771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711,435</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20" w:type="dxa"/>
            <w:vAlign w:val="bottom"/>
          </w:tcPr>
          <w:p>
            <w:pPr>
              <w:spacing w:after="0"/>
              <w:rPr>
                <w:sz w:val="21"/>
                <w:szCs w:val="21"/>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Restaurant and entertainment</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498,807</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and transportation</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393,511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486,469</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20" w:type="dxa"/>
            <w:vAlign w:val="bottom"/>
            <w:tcBorders>
              <w:bottom w:val="single" w:sz="8" w:color="CCEEFF"/>
            </w:tcBorders>
          </w:tcPr>
          <w:p>
            <w:pPr>
              <w:spacing w:after="0"/>
              <w:rPr>
                <w:sz w:val="21"/>
                <w:szCs w:val="21"/>
                <w:color w:val="auto"/>
              </w:rPr>
            </w:pPr>
          </w:p>
        </w:tc>
        <w:tc>
          <w:tcPr>
            <w:tcW w:w="4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commercial real estate</w:t>
            </w: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2,456,555</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640,230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3,096,785</w:t>
            </w:r>
          </w:p>
        </w:tc>
        <w:tc>
          <w:tcPr>
            <w:tcW w:w="1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40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6,626,887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7,805,346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14,432,233</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The following table summarizes the Company’s CRE portfolio by geographic location as of the date indicated: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460" w:type="dxa"/>
            <w:vAlign w:val="bottom"/>
          </w:tcPr>
          <w:p>
            <w:pPr>
              <w:spacing w:after="0"/>
              <w:rPr>
                <w:sz w:val="19"/>
                <w:szCs w:val="19"/>
                <w:color w:val="auto"/>
              </w:rPr>
            </w:pPr>
          </w:p>
        </w:tc>
        <w:tc>
          <w:tcPr>
            <w:tcW w:w="4220" w:type="dxa"/>
            <w:vAlign w:val="bottom"/>
            <w:gridSpan w:val="3"/>
          </w:tcPr>
          <w:p>
            <w:pPr>
              <w:jc w:val="right"/>
              <w:ind w:right="1530"/>
              <w:spacing w:after="0"/>
              <w:rPr>
                <w:sz w:val="20"/>
                <w:szCs w:val="20"/>
                <w:color w:val="auto"/>
              </w:rPr>
            </w:pPr>
            <w:r>
              <w:rPr>
                <w:rFonts w:ascii="Times New Roman" w:cs="Times New Roman" w:eastAsia="Times New Roman" w:hAnsi="Times New Roman"/>
                <w:sz w:val="18"/>
                <w:szCs w:val="18"/>
                <w:color w:val="auto"/>
              </w:rPr>
              <w:t>September 30, 2026</w:t>
            </w:r>
          </w:p>
        </w:tc>
      </w:tr>
      <w:tr>
        <w:trPr>
          <w:trHeight w:val="34"/>
        </w:trPr>
        <w:tc>
          <w:tcPr>
            <w:tcW w:w="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526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Percent of total CRE</w:t>
            </w:r>
          </w:p>
        </w:tc>
      </w:tr>
      <w:tr>
        <w:trPr>
          <w:trHeight w:val="237"/>
        </w:trPr>
        <w:tc>
          <w:tcPr>
            <w:tcW w:w="20" w:type="dxa"/>
            <w:vAlign w:val="bottom"/>
            <w:shd w:val="clear" w:color="auto" w:fill="CCEEFF"/>
          </w:tcPr>
          <w:p>
            <w:pPr>
              <w:spacing w:after="0"/>
              <w:rPr>
                <w:sz w:val="20"/>
                <w:szCs w:val="20"/>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Montana</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3,381,709</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r>
      <w:tr>
        <w:trPr>
          <w:trHeight w:val="243"/>
        </w:trPr>
        <w:tc>
          <w:tcPr>
            <w:tcW w:w="20" w:type="dxa"/>
            <w:vAlign w:val="bottom"/>
          </w:tcPr>
          <w:p>
            <w:pPr>
              <w:spacing w:after="0"/>
              <w:rPr>
                <w:sz w:val="21"/>
                <w:szCs w:val="21"/>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Utah</w:t>
            </w:r>
          </w:p>
        </w:tc>
        <w:tc>
          <w:tcPr>
            <w:tcW w:w="4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2,180,632</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43"/>
        </w:trPr>
        <w:tc>
          <w:tcPr>
            <w:tcW w:w="20" w:type="dxa"/>
            <w:vAlign w:val="bottom"/>
            <w:shd w:val="clear" w:color="auto" w:fill="CCEEFF"/>
          </w:tcPr>
          <w:p>
            <w:pPr>
              <w:spacing w:after="0"/>
              <w:rPr>
                <w:sz w:val="21"/>
                <w:szCs w:val="21"/>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Idaho</w:t>
            </w:r>
          </w:p>
        </w:tc>
        <w:tc>
          <w:tcPr>
            <w:tcW w:w="4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1,951,085</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43"/>
        </w:trPr>
        <w:tc>
          <w:tcPr>
            <w:tcW w:w="20" w:type="dxa"/>
            <w:vAlign w:val="bottom"/>
          </w:tcPr>
          <w:p>
            <w:pPr>
              <w:spacing w:after="0"/>
              <w:rPr>
                <w:sz w:val="21"/>
                <w:szCs w:val="21"/>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4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1,497,777</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43"/>
        </w:trPr>
        <w:tc>
          <w:tcPr>
            <w:tcW w:w="20" w:type="dxa"/>
            <w:vAlign w:val="bottom"/>
            <w:shd w:val="clear" w:color="auto" w:fill="CCEEFF"/>
          </w:tcPr>
          <w:p>
            <w:pPr>
              <w:spacing w:after="0"/>
              <w:rPr>
                <w:sz w:val="21"/>
                <w:szCs w:val="21"/>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Arizona</w:t>
            </w:r>
          </w:p>
        </w:tc>
        <w:tc>
          <w:tcPr>
            <w:tcW w:w="4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1,483,701</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43"/>
        </w:trPr>
        <w:tc>
          <w:tcPr>
            <w:tcW w:w="20" w:type="dxa"/>
            <w:vAlign w:val="bottom"/>
          </w:tcPr>
          <w:p>
            <w:pPr>
              <w:spacing w:after="0"/>
              <w:rPr>
                <w:sz w:val="21"/>
                <w:szCs w:val="21"/>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Colorado</w:t>
            </w:r>
          </w:p>
        </w:tc>
        <w:tc>
          <w:tcPr>
            <w:tcW w:w="4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1,248,767</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43"/>
        </w:trPr>
        <w:tc>
          <w:tcPr>
            <w:tcW w:w="20" w:type="dxa"/>
            <w:vAlign w:val="bottom"/>
            <w:shd w:val="clear" w:color="auto" w:fill="CCEEFF"/>
          </w:tcPr>
          <w:p>
            <w:pPr>
              <w:spacing w:after="0"/>
              <w:rPr>
                <w:sz w:val="21"/>
                <w:szCs w:val="21"/>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Washington</w:t>
            </w:r>
          </w:p>
        </w:tc>
        <w:tc>
          <w:tcPr>
            <w:tcW w:w="4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1,046,230</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43"/>
        </w:trPr>
        <w:tc>
          <w:tcPr>
            <w:tcW w:w="20" w:type="dxa"/>
            <w:vAlign w:val="bottom"/>
          </w:tcPr>
          <w:p>
            <w:pPr>
              <w:spacing w:after="0"/>
              <w:rPr>
                <w:sz w:val="21"/>
                <w:szCs w:val="21"/>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Wyoming</w:t>
            </w:r>
          </w:p>
        </w:tc>
        <w:tc>
          <w:tcPr>
            <w:tcW w:w="4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849,921</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43"/>
        </w:trPr>
        <w:tc>
          <w:tcPr>
            <w:tcW w:w="20" w:type="dxa"/>
            <w:vAlign w:val="bottom"/>
            <w:shd w:val="clear" w:color="auto" w:fill="CCEEFF"/>
          </w:tcPr>
          <w:p>
            <w:pPr>
              <w:spacing w:after="0"/>
              <w:rPr>
                <w:sz w:val="21"/>
                <w:szCs w:val="21"/>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4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792,411</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6"/>
        </w:trPr>
        <w:tc>
          <w:tcPr>
            <w:tcW w:w="20" w:type="dxa"/>
            <w:vAlign w:val="bottom"/>
          </w:tcPr>
          <w:p>
            <w:pPr>
              <w:spacing w:after="0"/>
              <w:rPr>
                <w:sz w:val="20"/>
                <w:szCs w:val="20"/>
                <w:color w:val="auto"/>
              </w:rPr>
            </w:pPr>
          </w:p>
        </w:tc>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14,432,233</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CRE portfolio is comprised of loans made to purchase, construct and finance commercial real estate properties. On average, the balances are small and geographically disbursed across our nine-state footprint. Specifically, our CRE portfolio has an average loan balance of $850.6 thousand with an average loan-to-value ratio (“LTV”) of 59% as of September 30, 2026.</w:t>
      </w:r>
    </w:p>
    <w:p>
      <w:pPr>
        <w:spacing w:after="0" w:line="1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Due to the recent trends in the banking industry, there has been increased risk associated with CRE loans, including with respect to the higher vulnerability of these credits to pressure as interest rates remain elevated and market conditions in many large metropolitan areas continue to show signs of stress. The Company has limited exposure to the office building sector in central business districts as the office portfolio is generally diversified in suburban and rural markets with strong occupancy levels. The Company maintains a practice of regular and ongoing loan reviews, stress tests, and sensitivity analyses to assess the level of risk in the loan portfolio. Loan reviews include monitoring past due rates, non-performing trends, concentrations, LTV’s, among other qualitative factors. Loan policies are robust and are updated as needed to meet the strategic and risk mitigation goals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Non-performing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regarding non-performing assets at the dates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At or for the Nine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At or for the Six</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At or for the Year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At or for the Nine</w:t>
            </w:r>
          </w:p>
        </w:tc>
      </w:t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Months ended</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Months ended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ended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Months ended</w:t>
            </w:r>
          </w:p>
        </w:tc>
      </w:tr>
      <w:tr>
        <w:trPr>
          <w:trHeight w:val="198"/>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9"/>
              </w:rPr>
              <w:t>September 30,</w:t>
            </w:r>
          </w:p>
        </w:tc>
        <w:tc>
          <w:tcPr>
            <w:tcW w:w="16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June 30,</w:t>
            </w:r>
          </w:p>
        </w:tc>
        <w:tc>
          <w:tcPr>
            <w:tcW w:w="16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December 31,</w:t>
            </w:r>
          </w:p>
        </w:tc>
        <w:tc>
          <w:tcPr>
            <w:tcW w:w="15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September 30,</w:t>
            </w:r>
          </w:p>
        </w:tc>
      </w:tr>
      <w:tr>
        <w:trPr>
          <w:trHeight w:val="189"/>
        </w:trPr>
        <w:tc>
          <w:tcPr>
            <w:tcW w:w="20" w:type="dxa"/>
            <w:vAlign w:val="bottom"/>
          </w:tcPr>
          <w:p>
            <w:pPr>
              <w:spacing w:after="0"/>
              <w:rPr>
                <w:sz w:val="16"/>
                <w:szCs w:val="16"/>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6"/>
                <w:szCs w:val="16"/>
                <w:color w:val="auto"/>
              </w:rPr>
            </w:pPr>
          </w:p>
        </w:tc>
        <w:tc>
          <w:tcPr>
            <w:tcW w:w="132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6"/>
                <w:szCs w:val="16"/>
                <w:color w:val="auto"/>
              </w:rPr>
            </w:pPr>
          </w:p>
        </w:tc>
        <w:tc>
          <w:tcPr>
            <w:tcW w:w="15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 owned and foreclosed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5,220</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1,413</w:t>
            </w:r>
          </w:p>
        </w:tc>
      </w:tr>
      <w:tr>
        <w:trPr>
          <w:trHeight w:val="243"/>
        </w:trPr>
        <w:tc>
          <w:tcPr>
            <w:tcW w:w="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Accruing loans 90 days or more past due</w:t>
            </w:r>
          </w:p>
        </w:tc>
        <w:tc>
          <w:tcPr>
            <w:tcW w:w="18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17,219</w:t>
            </w:r>
          </w:p>
        </w:tc>
        <w:tc>
          <w:tcPr>
            <w:tcW w:w="120" w:type="dxa"/>
            <w:vAlign w:val="bottom"/>
          </w:tcPr>
          <w:p>
            <w:pPr>
              <w:spacing w:after="0"/>
              <w:rPr>
                <w:sz w:val="21"/>
                <w:szCs w:val="21"/>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15,867</w:t>
            </w:r>
          </w:p>
        </w:tc>
        <w:tc>
          <w:tcPr>
            <w:tcW w:w="10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5,997</w:t>
            </w:r>
          </w:p>
        </w:tc>
        <w:tc>
          <w:tcPr>
            <w:tcW w:w="12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7,449</w:t>
            </w: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68,202</w:t>
            </w:r>
          </w:p>
        </w:tc>
        <w:tc>
          <w:tcPr>
            <w:tcW w:w="120" w:type="dxa"/>
            <w:vAlign w:val="bottom"/>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74,441</w:t>
            </w:r>
          </w:p>
        </w:tc>
        <w:tc>
          <w:tcPr>
            <w:tcW w:w="10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62,487</w:t>
            </w:r>
          </w:p>
        </w:tc>
        <w:tc>
          <w:tcPr>
            <w:tcW w:w="12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45,450</w:t>
            </w:r>
          </w:p>
        </w:tc>
      </w:tr>
      <w:tr>
        <w:trPr>
          <w:trHeight w:val="237"/>
        </w:trPr>
        <w:tc>
          <w:tcPr>
            <w:tcW w:w="20" w:type="dxa"/>
            <w:vAlign w:val="bottom"/>
          </w:tcPr>
          <w:p>
            <w:pPr>
              <w:spacing w:after="0"/>
              <w:rPr>
                <w:sz w:val="20"/>
                <w:szCs w:val="20"/>
                <w:color w:val="auto"/>
              </w:rPr>
            </w:pPr>
          </w:p>
        </w:tc>
        <w:tc>
          <w:tcPr>
            <w:tcW w:w="4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90,641</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91,849</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68,895</w:t>
            </w:r>
          </w:p>
        </w:tc>
        <w:tc>
          <w:tcPr>
            <w:tcW w:w="120" w:type="dxa"/>
            <w:vAlign w:val="bottom"/>
          </w:tcPr>
          <w:p>
            <w:pPr>
              <w:spacing w:after="0"/>
              <w:rPr>
                <w:sz w:val="20"/>
                <w:szCs w:val="20"/>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54,312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assets as a percentage of subsidiary assets</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0.29 %</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0.19 %</w:t>
            </w:r>
          </w:p>
        </w:tc>
      </w:tr>
      <w:tr>
        <w:trPr>
          <w:trHeight w:val="243"/>
        </w:trPr>
        <w:tc>
          <w:tcPr>
            <w:tcW w:w="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ACL as a percentage of non-performing loans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433 %</w:t>
            </w: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Accruing loans 30-89 days past due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58,149</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65,483</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78,826</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39,524</w:t>
            </w:r>
          </w:p>
        </w:tc>
      </w:tr>
      <w:tr>
        <w:trPr>
          <w:trHeight w:val="243"/>
        </w:trPr>
        <w:tc>
          <w:tcPr>
            <w:tcW w:w="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guarantees included in non-performing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4,657</w:t>
            </w:r>
          </w:p>
        </w:tc>
        <w:tc>
          <w:tcPr>
            <w:tcW w:w="120" w:type="dxa"/>
            <w:vAlign w:val="bottom"/>
          </w:tcPr>
          <w:p>
            <w:pPr>
              <w:spacing w:after="0"/>
              <w:rPr>
                <w:sz w:val="21"/>
                <w:szCs w:val="21"/>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7,497</w:t>
            </w:r>
          </w:p>
        </w:tc>
        <w:tc>
          <w:tcPr>
            <w:tcW w:w="10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8,733</w:t>
            </w:r>
          </w:p>
        </w:tc>
        <w:tc>
          <w:tcPr>
            <w:tcW w:w="12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10,358</w:t>
            </w: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3,119</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3,669</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1,997</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68" w:lineRule="exact"/>
        <w:rPr>
          <w:sz w:val="20"/>
          <w:szCs w:val="20"/>
          <w:color w:val="auto"/>
        </w:rPr>
      </w:pPr>
    </w:p>
    <w:p>
      <w:pPr>
        <w:ind w:left="180" w:right="160" w:hanging="172"/>
        <w:spacing w:after="0" w:line="225" w:lineRule="auto"/>
        <w:tabs>
          <w:tab w:leader="none" w:pos="179"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represent estimated interest income that would have been recognized on loans accounted for on a non-accrual basis as of the end of each period had such loans performed pursuant to contractual terms.</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Non-performing assets of $90.6 million at September 30, 2026, decreased $1.2 million, or 1 percent, over the prior quarter and increased $36.3 million, or 67 percent, over the prior year third quarter.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Early stage delinquencies (accruing loans 30-89 days past due) of $58.1 million at September 30, 2026, decreased $7.3 million from the prior quarter and increased $18.6 million from the prior year third quarter. Early stage delinquencies as a percentage of loans at September 30, 2026, were 0.27 percent compared to 0.31 percent for the prior quarter and 0.21 percent for the prior year third quarter.</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of the Company’s non-performing assets are secured by real estate, and based on the most current information available to management, including updated appraisals or evaluations (new or updated), the Company believes the value of the underlying real estate collateral is adequate to minimize significant charge-offs or losses to the Company. Through pro-active credit administration, the Company works closely with its borrowers to seek favorable resolution to the extent possible, thereby attempting to minimize net charge-offs or losses to the Company. With very limited exceptions, the Company does not disburse additional funds on non-performing loans. Instead, the Company proceeds to collection and foreclosure actions in order to reduce the Company’s exposure to loss on such loans.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on accounting policies relating to non-performing assets, see Note 1 to the Unaudited Condensed Consolidated Financial Statements in “Part I. Item 1.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Modifications to Borrowers Experiencing Financial Difficulty</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identifies and monitors MBFD loans. The Company considers some of the indicators that a borrower is experiencing financial difficulty to be: current payment default on any of their debt, declaring bankruptcy, going concern, borrower’s securities have been delisted, and other indicators of inability to meet obligations. Each debt modification is separately negotiated with the borrower and includes terms and conditions that reflect the borrower’s prospective ability to service their obligations as modified. Such loans at September 30, 2026 had an amortized cost of $17.5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auto"/>
        </w:rPr>
        <w:t>Other Real Estate Owned and Foreclosed Assets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book value of loans prior to the acquisition of collateral and transfer of the loans into OREO and other foreclosed assets during 2026 was $7.6 million. The fair value of the loan collateral acquired in foreclosure during 2026 was $6.2 million. The following table sets forth the changes in OREO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At or for the Nine</w:t>
            </w:r>
          </w:p>
        </w:tc>
        <w:tc>
          <w:tcPr>
            <w:tcW w:w="120" w:type="dxa"/>
            <w:vAlign w:val="bottom"/>
          </w:tcPr>
          <w:p>
            <w:pPr>
              <w:spacing w:after="0"/>
              <w:rPr>
                <w:sz w:val="17"/>
                <w:szCs w:val="17"/>
                <w:color w:val="auto"/>
              </w:rPr>
            </w:pPr>
          </w:p>
        </w:tc>
        <w:tc>
          <w:tcPr>
            <w:tcW w:w="13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At or for the Six</w:t>
            </w:r>
          </w:p>
        </w:tc>
        <w:tc>
          <w:tcPr>
            <w:tcW w:w="100" w:type="dxa"/>
            <w:vAlign w:val="bottom"/>
          </w:tcPr>
          <w:p>
            <w:pPr>
              <w:spacing w:after="0"/>
              <w:rPr>
                <w:sz w:val="17"/>
                <w:szCs w:val="17"/>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At or for the Year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At or for the Nine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rPr>
              <w:t>Months ended</w:t>
            </w:r>
          </w:p>
        </w:tc>
        <w:tc>
          <w:tcPr>
            <w:tcW w:w="120" w:type="dxa"/>
            <w:vAlign w:val="bottom"/>
          </w:tcPr>
          <w:p>
            <w:pPr>
              <w:spacing w:after="0"/>
              <w:rPr>
                <w:sz w:val="20"/>
                <w:szCs w:val="20"/>
                <w:color w:val="auto"/>
              </w:rPr>
            </w:pPr>
          </w:p>
        </w:tc>
        <w:tc>
          <w:tcPr>
            <w:tcW w:w="13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Months ended</w:t>
            </w:r>
          </w:p>
        </w:tc>
        <w:tc>
          <w:tcPr>
            <w:tcW w:w="100" w:type="dxa"/>
            <w:vAlign w:val="bottom"/>
          </w:tcPr>
          <w:p>
            <w:pPr>
              <w:spacing w:after="0"/>
              <w:rPr>
                <w:sz w:val="20"/>
                <w:szCs w:val="20"/>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ended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5"/>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September 30,</w:t>
            </w:r>
          </w:p>
        </w:tc>
        <w:tc>
          <w:tcPr>
            <w:tcW w:w="120" w:type="dxa"/>
            <w:vAlign w:val="bottom"/>
          </w:tcPr>
          <w:p>
            <w:pPr>
              <w:spacing w:after="0"/>
              <w:rPr>
                <w:sz w:val="17"/>
                <w:szCs w:val="17"/>
                <w:color w:val="auto"/>
              </w:rPr>
            </w:pPr>
          </w:p>
        </w:tc>
        <w:tc>
          <w:tcPr>
            <w:tcW w:w="104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June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4"/>
          </w:tcPr>
          <w:p>
            <w:pPr>
              <w:jc w:val="center"/>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5"/>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gridSpan w:val="3"/>
          </w:tcPr>
          <w:p>
            <w:pPr>
              <w:jc w:val="center"/>
              <w:ind w:right="310"/>
              <w:spacing w:after="0" w:line="189" w:lineRule="exact"/>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6"/>
                <w:szCs w:val="16"/>
                <w:color w:val="auto"/>
              </w:rPr>
            </w:pPr>
          </w:p>
        </w:tc>
        <w:tc>
          <w:tcPr>
            <w:tcW w:w="1160" w:type="dxa"/>
            <w:vAlign w:val="bottom"/>
            <w:gridSpan w:val="2"/>
          </w:tcPr>
          <w:p>
            <w:pPr>
              <w:jc w:val="center"/>
              <w:ind w:left="190"/>
              <w:spacing w:after="0" w:line="189" w:lineRule="exact"/>
              <w:rPr>
                <w:sz w:val="20"/>
                <w:szCs w:val="20"/>
                <w:color w:val="auto"/>
              </w:rPr>
            </w:pPr>
            <w:r>
              <w:rPr>
                <w:rFonts w:ascii="Times New Roman" w:cs="Times New Roman" w:eastAsia="Times New Roman" w:hAnsi="Times New Roman"/>
                <w:sz w:val="18"/>
                <w:szCs w:val="18"/>
                <w:color w:val="auto"/>
                <w:w w:val="99"/>
              </w:rPr>
              <w:t>2026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5"/>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w w:val="99"/>
              </w:rPr>
              <w:t>2025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9"/>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124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20"/>
                <w:szCs w:val="20"/>
                <w:color w:val="auto"/>
              </w:rPr>
            </w:pPr>
          </w:p>
        </w:tc>
        <w:tc>
          <w:tcPr>
            <w:tcW w:w="14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00" w:type="dxa"/>
            <w:vAlign w:val="bottom"/>
          </w:tcPr>
          <w:p>
            <w:pPr>
              <w:spacing w:after="0"/>
              <w:rPr>
                <w:sz w:val="21"/>
                <w:szCs w:val="21"/>
                <w:color w:val="auto"/>
              </w:rPr>
            </w:pPr>
          </w:p>
        </w:tc>
        <w:tc>
          <w:tcPr>
            <w:tcW w:w="14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228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Capital improvements</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Write-downs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4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14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EEFF"/>
          </w:tcPr>
          <w:p>
            <w:pPr>
              <w:spacing w:after="0"/>
              <w:rPr>
                <w:sz w:val="21"/>
                <w:szCs w:val="21"/>
                <w:color w:val="auto"/>
              </w:rPr>
            </w:pPr>
          </w:p>
        </w:tc>
        <w:tc>
          <w:tcPr>
            <w:tcW w:w="1420" w:type="dxa"/>
            <w:vAlign w:val="bottom"/>
            <w:tcBorders>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20" w:type="dxa"/>
            <w:vAlign w:val="bottom"/>
            <w:gridSpan w:val="10"/>
          </w:tcPr>
          <w:p>
            <w:pPr>
              <w:ind w:left="6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tcPr>
          <w:p>
            <w:pPr>
              <w:spacing w:after="0"/>
              <w:rPr>
                <w:sz w:val="20"/>
                <w:szCs w:val="20"/>
                <w:color w:val="auto"/>
              </w:rPr>
            </w:pPr>
          </w:p>
        </w:tc>
        <w:tc>
          <w:tcPr>
            <w:tcW w:w="14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Allowance for Credit Losses - Loans Receivable</w:t>
            </w: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2"/>
        </w:trPr>
        <w:tc>
          <w:tcPr>
            <w:tcW w:w="3680" w:type="dxa"/>
            <w:vAlign w:val="bottom"/>
            <w:gridSpan w:val="12"/>
            <w:vMerge w:val="continue"/>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The following table summarizes the allocation of the ACL as of the dates indicated:</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790"/>
              <w:spacing w:after="0"/>
              <w:rPr>
                <w:sz w:val="20"/>
                <w:szCs w:val="20"/>
                <w:color w:val="auto"/>
              </w:rPr>
            </w:pPr>
            <w:r>
              <w:rPr>
                <w:rFonts w:ascii="Times New Roman" w:cs="Times New Roman" w:eastAsia="Times New Roman" w:hAnsi="Times New Roman"/>
                <w:sz w:val="18"/>
                <w:szCs w:val="18"/>
                <w:color w:val="auto"/>
                <w:w w:val="98"/>
              </w:rPr>
              <w:t>September 30, 2026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770"/>
              <w:spacing w:after="0"/>
              <w:rPr>
                <w:sz w:val="20"/>
                <w:szCs w:val="20"/>
                <w:color w:val="auto"/>
              </w:rPr>
            </w:pPr>
            <w:r>
              <w:rPr>
                <w:rFonts w:ascii="Times New Roman" w:cs="Times New Roman" w:eastAsia="Times New Roman" w:hAnsi="Times New Roman"/>
                <w:sz w:val="18"/>
                <w:szCs w:val="18"/>
                <w:color w:val="auto"/>
              </w:rPr>
              <w:t>December 31, 2025</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jc w:val="right"/>
              <w:ind w:right="790"/>
              <w:spacing w:after="0"/>
              <w:rPr>
                <w:sz w:val="20"/>
                <w:szCs w:val="20"/>
                <w:color w:val="auto"/>
              </w:rPr>
            </w:pPr>
            <w:r>
              <w:rPr>
                <w:rFonts w:ascii="Times New Roman" w:cs="Times New Roman" w:eastAsia="Times New Roman" w:hAnsi="Times New Roman"/>
                <w:sz w:val="18"/>
                <w:szCs w:val="18"/>
                <w:color w:val="auto"/>
              </w:rPr>
              <w:t>September 30,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center"/>
              <w:ind w:right="200"/>
              <w:spacing w:after="0" w:line="182" w:lineRule="exact"/>
              <w:rPr>
                <w:sz w:val="20"/>
                <w:szCs w:val="20"/>
                <w:color w:val="auto"/>
              </w:rPr>
            </w:pPr>
            <w:r>
              <w:rPr>
                <w:rFonts w:ascii="Times New Roman" w:cs="Times New Roman" w:eastAsia="Times New Roman" w:hAnsi="Times New Roman"/>
                <w:sz w:val="18"/>
                <w:szCs w:val="18"/>
                <w:color w:val="auto"/>
              </w:rPr>
              <w:t>Percent of</w:t>
            </w:r>
          </w:p>
        </w:tc>
        <w:tc>
          <w:tcPr>
            <w:tcW w:w="108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color w:val="auto"/>
                <w:w w:val="99"/>
              </w:rPr>
              <w:t>Percent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Percent of</w:t>
            </w:r>
          </w:p>
        </w:tc>
        <w:tc>
          <w:tcPr>
            <w:tcW w:w="120" w:type="dxa"/>
            <w:vAlign w:val="bottom"/>
          </w:tcPr>
          <w:p>
            <w:pPr>
              <w:spacing w:after="0"/>
              <w:rPr>
                <w:sz w:val="15"/>
                <w:szCs w:val="15"/>
                <w:color w:val="auto"/>
              </w:rPr>
            </w:pPr>
          </w:p>
        </w:tc>
        <w:tc>
          <w:tcPr>
            <w:tcW w:w="10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Percent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4"/>
          </w:tcPr>
          <w:p>
            <w:pPr>
              <w:jc w:val="center"/>
              <w:spacing w:after="0" w:line="182" w:lineRule="exact"/>
              <w:rPr>
                <w:sz w:val="20"/>
                <w:szCs w:val="20"/>
                <w:color w:val="auto"/>
              </w:rPr>
            </w:pPr>
            <w:r>
              <w:rPr>
                <w:rFonts w:ascii="Times New Roman" w:cs="Times New Roman" w:eastAsia="Times New Roman" w:hAnsi="Times New Roman"/>
                <w:sz w:val="18"/>
                <w:szCs w:val="18"/>
                <w:color w:val="auto"/>
              </w:rPr>
              <w:t>Percent of</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40"/>
              <w:spacing w:after="0" w:line="182" w:lineRule="exact"/>
              <w:rPr>
                <w:sz w:val="20"/>
                <w:szCs w:val="20"/>
                <w:color w:val="auto"/>
              </w:rPr>
            </w:pPr>
            <w:r>
              <w:rPr>
                <w:rFonts w:ascii="Times New Roman" w:cs="Times New Roman" w:eastAsia="Times New Roman" w:hAnsi="Times New Roman"/>
                <w:sz w:val="18"/>
                <w:szCs w:val="18"/>
                <w:color w:val="auto"/>
                <w:w w:val="99"/>
              </w:rPr>
              <w:t>Percent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w w:val="98"/>
              </w:rPr>
              <w:t>ACL in</w:t>
            </w:r>
          </w:p>
        </w:tc>
        <w:tc>
          <w:tcPr>
            <w:tcW w:w="10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9"/>
              </w:rPr>
              <w:t>of Loans in</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0"/>
              <w:spacing w:after="0" w:line="176" w:lineRule="exact"/>
              <w:rPr>
                <w:sz w:val="20"/>
                <w:szCs w:val="20"/>
                <w:color w:val="auto"/>
              </w:rPr>
            </w:pPr>
            <w:r>
              <w:rPr>
                <w:rFonts w:ascii="Times New Roman" w:cs="Times New Roman" w:eastAsia="Times New Roman" w:hAnsi="Times New Roman"/>
                <w:sz w:val="18"/>
                <w:szCs w:val="18"/>
                <w:color w:val="auto"/>
                <w:w w:val="98"/>
              </w:rPr>
              <w:t>ACL in</w:t>
            </w:r>
          </w:p>
        </w:tc>
        <w:tc>
          <w:tcPr>
            <w:tcW w:w="120" w:type="dxa"/>
            <w:vAlign w:val="bottom"/>
          </w:tcPr>
          <w:p>
            <w:pPr>
              <w:spacing w:after="0"/>
              <w:rPr>
                <w:sz w:val="15"/>
                <w:szCs w:val="15"/>
                <w:color w:val="auto"/>
              </w:rPr>
            </w:pP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of Loans in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4"/>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ACL in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40"/>
              <w:spacing w:after="0" w:line="176" w:lineRule="exact"/>
              <w:rPr>
                <w:sz w:val="20"/>
                <w:szCs w:val="20"/>
                <w:color w:val="auto"/>
              </w:rPr>
            </w:pPr>
            <w:r>
              <w:rPr>
                <w:rFonts w:ascii="Times New Roman" w:cs="Times New Roman" w:eastAsia="Times New Roman" w:hAnsi="Times New Roman"/>
                <w:sz w:val="18"/>
                <w:szCs w:val="18"/>
                <w:color w:val="auto"/>
                <w:w w:val="99"/>
              </w:rPr>
              <w:t>of Loans in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68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ACL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200"/>
              <w:spacing w:after="0" w:line="169" w:lineRule="exact"/>
              <w:rPr>
                <w:sz w:val="20"/>
                <w:szCs w:val="20"/>
                <w:color w:val="auto"/>
              </w:rPr>
            </w:pPr>
            <w:r>
              <w:rPr>
                <w:rFonts w:ascii="Times New Roman" w:cs="Times New Roman" w:eastAsia="Times New Roman" w:hAnsi="Times New Roman"/>
                <w:sz w:val="18"/>
                <w:szCs w:val="18"/>
                <w:color w:val="auto"/>
                <w:w w:val="99"/>
              </w:rPr>
              <w:t>Category</w:t>
            </w:r>
          </w:p>
        </w:tc>
        <w:tc>
          <w:tcPr>
            <w:tcW w:w="10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Category</w:t>
            </w:r>
          </w:p>
        </w:tc>
        <w:tc>
          <w:tcPr>
            <w:tcW w:w="160" w:type="dxa"/>
            <w:vAlign w:val="bottom"/>
          </w:tcPr>
          <w:p>
            <w:pPr>
              <w:spacing w:after="0"/>
              <w:rPr>
                <w:sz w:val="16"/>
                <w:szCs w:val="16"/>
                <w:color w:val="auto"/>
              </w:rPr>
            </w:pPr>
          </w:p>
        </w:tc>
        <w:tc>
          <w:tcPr>
            <w:tcW w:w="680" w:type="dxa"/>
            <w:vAlign w:val="bottom"/>
            <w:gridSpan w:val="2"/>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ACL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0"/>
              <w:spacing w:after="0" w:line="169" w:lineRule="exact"/>
              <w:rPr>
                <w:sz w:val="20"/>
                <w:szCs w:val="20"/>
                <w:color w:val="auto"/>
              </w:rPr>
            </w:pPr>
            <w:r>
              <w:rPr>
                <w:rFonts w:ascii="Times New Roman" w:cs="Times New Roman" w:eastAsia="Times New Roman" w:hAnsi="Times New Roman"/>
                <w:sz w:val="18"/>
                <w:szCs w:val="18"/>
                <w:color w:val="auto"/>
                <w:w w:val="99"/>
              </w:rPr>
              <w:t>Category</w:t>
            </w:r>
          </w:p>
        </w:tc>
        <w:tc>
          <w:tcPr>
            <w:tcW w:w="120" w:type="dxa"/>
            <w:vAlign w:val="bottom"/>
          </w:tcPr>
          <w:p>
            <w:pPr>
              <w:spacing w:after="0"/>
              <w:rPr>
                <w:sz w:val="16"/>
                <w:szCs w:val="16"/>
                <w:color w:val="auto"/>
              </w:rPr>
            </w:pPr>
          </w:p>
        </w:tc>
        <w:tc>
          <w:tcPr>
            <w:tcW w:w="10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Category</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w w:val="99"/>
              </w:rPr>
              <w:t>ACL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Category</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40"/>
              <w:spacing w:after="0" w:line="169" w:lineRule="exact"/>
              <w:rPr>
                <w:sz w:val="20"/>
                <w:szCs w:val="20"/>
                <w:color w:val="auto"/>
              </w:rPr>
            </w:pPr>
            <w:r>
              <w:rPr>
                <w:rFonts w:ascii="Times New Roman" w:cs="Times New Roman" w:eastAsia="Times New Roman" w:hAnsi="Times New Roman"/>
                <w:sz w:val="18"/>
                <w:szCs w:val="18"/>
                <w:color w:val="auto"/>
                <w:w w:val="99"/>
              </w:rPr>
              <w:t>Category</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14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Residential real</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 w:type="dxa"/>
            <w:vAlign w:val="bottom"/>
            <w:tcBorders>
              <w:right w:val="single" w:sz="8" w:color="CCEEFF"/>
            </w:tcBorders>
          </w:tcPr>
          <w:p>
            <w:pPr>
              <w:spacing w:after="0"/>
              <w:rPr>
                <w:sz w:val="21"/>
                <w:szCs w:val="21"/>
                <w:color w:val="auto"/>
              </w:rPr>
            </w:pPr>
          </w:p>
        </w:tc>
        <w:tc>
          <w:tcPr>
            <w:tcW w:w="14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estate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27,447</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31,875</w:t>
            </w:r>
          </w:p>
        </w:tc>
        <w:tc>
          <w:tcPr>
            <w:tcW w:w="11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10 %</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Commercial real</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estate</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179,454</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166,803</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156,243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64 %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 w:type="dxa"/>
            <w:vAlign w:val="bottom"/>
            <w:tcBorders>
              <w:right w:val="single" w:sz="8" w:color="CCEEFF"/>
            </w:tcBorders>
          </w:tcPr>
          <w:p>
            <w:pPr>
              <w:spacing w:after="0"/>
              <w:rPr>
                <w:sz w:val="21"/>
                <w:szCs w:val="21"/>
                <w:color w:val="auto"/>
              </w:rPr>
            </w:pPr>
          </w:p>
        </w:tc>
        <w:tc>
          <w:tcPr>
            <w:tcW w:w="1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34,123</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37,954</w:t>
            </w:r>
          </w:p>
        </w:tc>
        <w:tc>
          <w:tcPr>
            <w:tcW w:w="11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19 %</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Home equity</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 w:type="dxa"/>
            <w:vAlign w:val="bottom"/>
            <w:tcBorders>
              <w:right w:val="single" w:sz="8" w:color="CCEEFF"/>
            </w:tcBorders>
          </w:tcPr>
          <w:p>
            <w:pPr>
              <w:spacing w:after="0"/>
              <w:rPr>
                <w:sz w:val="21"/>
                <w:szCs w:val="21"/>
                <w:color w:val="auto"/>
              </w:rPr>
            </w:pPr>
          </w:p>
        </w:tc>
        <w:tc>
          <w:tcPr>
            <w:tcW w:w="1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consumer</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259,668</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255,319</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229,077</w:t>
            </w:r>
          </w:p>
        </w:tc>
        <w:tc>
          <w:tcPr>
            <w:tcW w:w="11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The following table summarizes the ACL experience for the periods indicated: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At or for the Nine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At or for the Six</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At or for the Year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At or for the Nine</w:t>
            </w:r>
          </w:p>
        </w:tc>
      </w:t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Months ended</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Months ended</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ended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Months ended</w:t>
            </w:r>
          </w:p>
        </w:tc>
      </w:tr>
      <w:tr>
        <w:trPr>
          <w:trHeight w:val="198"/>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September 30,</w:t>
            </w:r>
          </w:p>
        </w:tc>
        <w:tc>
          <w:tcPr>
            <w:tcW w:w="160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June 30,</w:t>
            </w:r>
          </w:p>
        </w:tc>
        <w:tc>
          <w:tcPr>
            <w:tcW w:w="16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December 31,</w:t>
            </w:r>
          </w:p>
        </w:tc>
        <w:tc>
          <w:tcPr>
            <w:tcW w:w="15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September 30,</w:t>
            </w:r>
          </w:p>
        </w:tc>
      </w:tr>
      <w:tr>
        <w:trPr>
          <w:trHeight w:val="189"/>
        </w:trPr>
        <w:tc>
          <w:tcPr>
            <w:tcW w:w="20" w:type="dxa"/>
            <w:vAlign w:val="bottom"/>
          </w:tcPr>
          <w:p>
            <w:pPr>
              <w:spacing w:after="0"/>
              <w:rPr>
                <w:sz w:val="16"/>
                <w:szCs w:val="16"/>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6"/>
                <w:szCs w:val="16"/>
                <w:color w:val="auto"/>
              </w:rPr>
            </w:pPr>
          </w:p>
        </w:tc>
        <w:tc>
          <w:tcPr>
            <w:tcW w:w="140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2026</w:t>
            </w:r>
          </w:p>
        </w:tc>
        <w:tc>
          <w:tcPr>
            <w:tcW w:w="8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255,319</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255,319</w:t>
            </w: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206,041</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206,041</w:t>
            </w:r>
          </w:p>
        </w:tc>
      </w:tr>
      <w:tr>
        <w:trPr>
          <w:trHeight w:val="243"/>
        </w:trPr>
        <w:tc>
          <w:tcPr>
            <w:tcW w:w="20" w:type="dxa"/>
            <w:vAlign w:val="bottom"/>
          </w:tcPr>
          <w:p>
            <w:pPr>
              <w:spacing w:after="0"/>
              <w:rPr>
                <w:sz w:val="21"/>
                <w:szCs w:val="21"/>
                <w:color w:val="auto"/>
              </w:rPr>
            </w:pPr>
          </w:p>
        </w:tc>
        <w:tc>
          <w:tcPr>
            <w:tcW w:w="4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20" w:type="dxa"/>
            <w:vAlign w:val="bottom"/>
            <w:shd w:val="clear" w:color="auto" w:fill="CCEEFF"/>
          </w:tcPr>
          <w:p>
            <w:pPr>
              <w:spacing w:after="0"/>
              <w:rPr>
                <w:sz w:val="21"/>
                <w:szCs w:val="21"/>
                <w:color w:val="auto"/>
              </w:rPr>
            </w:pPr>
          </w:p>
        </w:tc>
        <w:tc>
          <w:tcPr>
            <w:tcW w:w="4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19,282</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13,639</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61,846</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29,355</w:t>
            </w:r>
          </w:p>
        </w:tc>
      </w:tr>
      <w:tr>
        <w:trPr>
          <w:trHeight w:val="243"/>
        </w:trPr>
        <w:tc>
          <w:tcPr>
            <w:tcW w:w="20" w:type="dxa"/>
            <w:vAlign w:val="bottom"/>
          </w:tcPr>
          <w:p>
            <w:pPr>
              <w:spacing w:after="0"/>
              <w:rPr>
                <w:sz w:val="21"/>
                <w:szCs w:val="21"/>
                <w:color w:val="auto"/>
              </w:rPr>
            </w:pPr>
          </w:p>
        </w:tc>
        <w:tc>
          <w:tcPr>
            <w:tcW w:w="4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(charge-offs) recoveries</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267</w:t>
            </w:r>
          </w:p>
        </w:tc>
      </w:tr>
      <w:tr>
        <w:trPr>
          <w:trHeight w:val="243"/>
        </w:trPr>
        <w:tc>
          <w:tcPr>
            <w:tcW w:w="20" w:type="dxa"/>
            <w:vAlign w:val="bottom"/>
          </w:tcPr>
          <w:p>
            <w:pPr>
              <w:spacing w:after="0"/>
              <w:rPr>
                <w:sz w:val="21"/>
                <w:szCs w:val="21"/>
                <w:color w:val="auto"/>
              </w:rPr>
            </w:pPr>
          </w:p>
        </w:tc>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(1,278)</w:t>
            </w:r>
          </w:p>
        </w:tc>
        <w:tc>
          <w:tcPr>
            <w:tcW w:w="8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388</w:t>
            </w:r>
          </w:p>
        </w:tc>
      </w:tr>
      <w:tr>
        <w:trPr>
          <w:trHeight w:val="243"/>
        </w:trPr>
        <w:tc>
          <w:tcPr>
            <w:tcW w:w="20" w:type="dxa"/>
            <w:vAlign w:val="bottom"/>
            <w:shd w:val="clear" w:color="auto" w:fill="CCEEFF"/>
          </w:tcPr>
          <w:p>
            <w:pPr>
              <w:spacing w:after="0"/>
              <w:rPr>
                <w:sz w:val="21"/>
                <w:szCs w:val="21"/>
                <w:color w:val="auto"/>
              </w:rPr>
            </w:pPr>
          </w:p>
        </w:tc>
        <w:tc>
          <w:tcPr>
            <w:tcW w:w="4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commercial</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(7,210)</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(3,752)</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(1,741)</w:t>
            </w:r>
          </w:p>
        </w:tc>
      </w:tr>
      <w:tr>
        <w:trPr>
          <w:trHeight w:val="243"/>
        </w:trPr>
        <w:tc>
          <w:tcPr>
            <w:tcW w:w="20" w:type="dxa"/>
            <w:vAlign w:val="bottom"/>
          </w:tcPr>
          <w:p>
            <w:pPr>
              <w:spacing w:after="0"/>
              <w:rPr>
                <w:sz w:val="21"/>
                <w:szCs w:val="21"/>
                <w:color w:val="auto"/>
              </w:rPr>
            </w:pPr>
          </w:p>
        </w:tc>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Home equity</w:t>
            </w:r>
          </w:p>
        </w:tc>
        <w:tc>
          <w:tcPr>
            <w:tcW w:w="12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20" w:type="dxa"/>
            <w:vAlign w:val="bottom"/>
            <w:shd w:val="clear" w:color="auto" w:fill="CCEEFF"/>
          </w:tcPr>
          <w:p>
            <w:pPr>
              <w:spacing w:after="0"/>
              <w:rPr>
                <w:sz w:val="21"/>
                <w:szCs w:val="21"/>
                <w:color w:val="auto"/>
              </w:rPr>
            </w:pPr>
          </w:p>
        </w:tc>
        <w:tc>
          <w:tcPr>
            <w:tcW w:w="4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(5,955)</w:t>
            </w:r>
          </w:p>
        </w:tc>
        <w:tc>
          <w:tcPr>
            <w:tcW w:w="10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(3,637)</w:t>
            </w:r>
          </w:p>
        </w:tc>
        <w:tc>
          <w:tcPr>
            <w:tcW w:w="8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(7,572)</w:t>
            </w:r>
          </w:p>
        </w:tc>
        <w:tc>
          <w:tcPr>
            <w:tcW w:w="10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(5,329)</w:t>
            </w:r>
          </w:p>
        </w:tc>
      </w:tr>
      <w:tr>
        <w:trPr>
          <w:trHeight w:val="236"/>
        </w:trPr>
        <w:tc>
          <w:tcPr>
            <w:tcW w:w="20" w:type="dxa"/>
            <w:vAlign w:val="bottom"/>
            <w:tcBorders>
              <w:bottom w:val="single" w:sz="8" w:color="CCEEFF"/>
            </w:tcBorders>
          </w:tcPr>
          <w:p>
            <w:pPr>
              <w:spacing w:after="0"/>
              <w:rPr>
                <w:sz w:val="20"/>
                <w:szCs w:val="20"/>
                <w:color w:val="auto"/>
              </w:rPr>
            </w:pPr>
          </w:p>
        </w:tc>
        <w:tc>
          <w:tcPr>
            <w:tcW w:w="4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Net charge-offs</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(14,933)</w:t>
            </w: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(8,933)</w:t>
            </w:r>
          </w:p>
        </w:tc>
        <w:tc>
          <w:tcPr>
            <w:tcW w:w="8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(12,722)</w:t>
            </w: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(6,354)</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48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259,668</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260,025</w:t>
            </w:r>
          </w:p>
        </w:tc>
        <w:tc>
          <w:tcPr>
            <w:tcW w:w="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255,319</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229,077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ACL as a percentage of total loans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43"/>
        </w:trPr>
        <w:tc>
          <w:tcPr>
            <w:tcW w:w="20" w:type="dxa"/>
            <w:vAlign w:val="bottom"/>
            <w:shd w:val="clear" w:color="auto" w:fill="CCEEFF"/>
          </w:tcPr>
          <w:p>
            <w:pPr>
              <w:spacing w:after="0"/>
              <w:rPr>
                <w:sz w:val="21"/>
                <w:szCs w:val="21"/>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Non-accrual loans as a percentage of total loans</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0.32 %</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0.30 %</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0.24 %</w:t>
            </w:r>
          </w:p>
        </w:tc>
      </w:tr>
      <w:tr>
        <w:trPr>
          <w:trHeight w:val="243"/>
        </w:trPr>
        <w:tc>
          <w:tcPr>
            <w:tcW w:w="20" w:type="dxa"/>
            <w:vAlign w:val="bottom"/>
          </w:tcPr>
          <w:p>
            <w:pPr>
              <w:spacing w:after="0"/>
              <w:rPr>
                <w:sz w:val="21"/>
                <w:szCs w:val="21"/>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ACL as a percentage of non-accrual loans</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380.73 %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349.30 %</w:t>
            </w:r>
          </w:p>
        </w:tc>
        <w:tc>
          <w:tcPr>
            <w:tcW w:w="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408.60 %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504.02 %</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(charge-offs) recoveries as a percentage of average loans for the periods indicated: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30,</w:t>
            </w:r>
          </w:p>
        </w:tc>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June 30,</w:t>
            </w: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December 31,</w:t>
            </w: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9"/>
        </w:trPr>
        <w:tc>
          <w:tcPr>
            <w:tcW w:w="49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r>
      <w:tr>
        <w:trPr>
          <w:trHeight w:val="241"/>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0.01 %</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commercial</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equity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consumer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net (charge-offs) recoveries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credit loss expense was $17.5 million for the first nine months of 2026, a decrease of $18.2 million, or 51 percent, over the same period in the prior year. Included in the first nine months of the prior year provision for credit losses was $16.7 million from the acquisition of BOID. Net charge-offs for the first nine months of 2026 were $14.9 million compared to $6.4 million in the first nine months of 2025.</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ACL on loans as a percentage of total loans outstanding was 1.20 percent at September 30, 2026, compared to 1.22 percent at each of June 30, 2026, December 31, 2025, and September 30, 2025. The Company’s ACL of $260 million is considered adequate to absorb the estimated credit losses from any segment of its loan portfolio. For the periods ended September 30, 2026 and 2025, the Company believes the ACL is commensurate with the risk in the Company’s loan portfolio and is directionally consistent with the change in the quality of the Company’s loan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1" w:name="page72"/>
    <w:bookmarkEnd w:id="71"/>
    <w:p>
      <w:pPr>
        <w:jc w:val="both"/>
        <w:spacing w:after="0" w:line="255" w:lineRule="auto"/>
        <w:rPr>
          <w:sz w:val="20"/>
          <w:szCs w:val="20"/>
          <w:color w:val="auto"/>
        </w:rPr>
      </w:pPr>
      <w:r>
        <w:rPr>
          <w:rFonts w:ascii="Times New Roman" w:cs="Times New Roman" w:eastAsia="Times New Roman" w:hAnsi="Times New Roman"/>
          <w:sz w:val="18"/>
          <w:szCs w:val="18"/>
          <w:color w:val="auto"/>
        </w:rPr>
        <w:t>At the end of each quarter, the Company analyzes its loan portfolio and maintains an ACL at a level that is appropriate and determined in accordance with GAAP. Determining the adequacy of the ACL involves a high degree of judgment and is inevitably imprecise as the risk of loss is difficult to quantify. The ACL methodology is designed to reasonably estimate the expected credit losses within the Company’s loan portfolio. Accordingly, the ACL is maintained within a range of estimated losses. The determination of the ACL on loans, including credit loss expense and net charge-offs, is a critical accounting estimate that involves management’s judgments about the loan portfolio that impact credit losses, including the credit risk inherent in the loan portfolio, economic forecasts nationally and in the local markets in which the Company operates, trends and changes in collateral values, delinquencies, non-performing assets, net charge-offs, credit-related policies and personnel, and other environmental factors.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the allowance, the loan portfolio is separated into pools of loans that share similar risk characteristics which are the Company’s loan segments. The Company then derives estimated loss assumptions from its model by loan segment. The loss assumptions are then applied to each segment of loan to estimate the ACL on the pooled loans. For any loans that do not share similar risk characteristics, the estimated credit losses are determined on an individual loan basis and such loans primarily consist of non-accrual loans. An estimated credit loss is recorded on individually reviewed loans when the fair value of a collateral-dependent loan or the present value of the loan’s expected future cash flows (discounted at the loans original effective interest rate) is less than the amortized cost of the loan.</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provides commercial banking services to individuals, small to medium-sized businesses, community organizations and public entities from 282 locations, including 238 branches, across Montana, Idaho, Utah, Washington, Wyoming, Colorado, Arizona, Nevada, and Texas. The states in which the Company operates have diverse economies and markets that are tied to commodities (crops, livestock, minerals, oil and natural gas), tourism, real estate and land development and an assortment of industries, both manufacturing and service-related. Thus, the effects of changes in the global, national, and local economies are not uniform across the Company’s geographic locations. The geographic dispersion of these market areas helps to mitigate the risk of credit loss. The Company’s model of eighteen bank divisions with separate management teams is also a significant benefit in mitigating and managing the Company’s credit risk. This model provides substantial local oversight to the lending and credit management function and requires multiple reviews of larger loans before credit is extended.</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responsibility for credit risk assessment and identification of problem loans rests with the loan officer of the account. This continuous process of identifying non-performing loans is necessary to support management’s evaluation of the ACL adequacy. An independent loan review function verifying credit risk ratings evaluates the loan officer’s and management’s evaluation of the loan portfolio credit quality. The ACL evaluation is well documented and approved by the Company’s Board. In addition, the policy and procedures for determining the balance of the ACL are reviewed annually by the Company’s Board, the internal audit department, independent credit reviewers and state and federal bank regulatory agencies.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continues to actively monitor economic trends and regulatory developments, no assurance can be given that the Company will not, in any particular period, sustain losses that are significant relative to the ACL amount, or that subsequent evaluations of the loan portfolio applying management’s judgment about then current factors will not require significant changes in the ACL. Under such circumstances, additional credit loss expense could result.</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ACL, its relation to credit loss expense and risks related to asset quality, see Note 3 to the Unaudited Condensed Consolidated Financial Statements in “Part I. 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2" w:name="page73"/>
    <w:bookmarkEnd w:id="72"/>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by Regulatory Classification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Supplemental information regarding identification of the Company’s loan portfolio and credit quality based on regulatory classification is provided in the following tables. The regulatory classification of loans is based primarily on the type of collateral for the loans. There may be differences when compared to loan tables and loan amounts appearing elsewhere which reflect the Company’s internal loan segments which are based on the purpose of the loan.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loan portfolio by regulatory classification:</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color w:val="auto"/>
              </w:rPr>
              <w:t>Loans Receivable, by Loan Type</w:t>
            </w: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 Change from</w:t>
            </w:r>
          </w:p>
        </w:tc>
        <w:tc>
          <w:tcPr>
            <w:tcW w:w="940" w:type="dxa"/>
            <w:vAlign w:val="bottom"/>
            <w:tcBorders>
              <w:bottom w:val="single" w:sz="8" w:color="auto"/>
            </w:tcBorders>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Sep 30,</w:t>
            </w:r>
          </w:p>
        </w:tc>
        <w:tc>
          <w:tcPr>
            <w:tcW w:w="220" w:type="dxa"/>
            <w:vAlign w:val="bottom"/>
          </w:tcPr>
          <w:p>
            <w:pPr>
              <w:spacing w:after="0"/>
              <w:rPr>
                <w:sz w:val="15"/>
                <w:szCs w:val="15"/>
                <w:color w:val="auto"/>
              </w:rPr>
            </w:pPr>
          </w:p>
        </w:tc>
        <w:tc>
          <w:tcPr>
            <w:tcW w:w="110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Jun 30,</w:t>
            </w:r>
          </w:p>
        </w:tc>
        <w:tc>
          <w:tcPr>
            <w:tcW w:w="220" w:type="dxa"/>
            <w:vAlign w:val="bottom"/>
          </w:tcPr>
          <w:p>
            <w:pPr>
              <w:spacing w:after="0"/>
              <w:rPr>
                <w:sz w:val="15"/>
                <w:szCs w:val="15"/>
                <w:color w:val="auto"/>
              </w:rPr>
            </w:pPr>
          </w:p>
        </w:tc>
        <w:tc>
          <w:tcPr>
            <w:tcW w:w="110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Dec 31,</w:t>
            </w:r>
          </w:p>
        </w:tc>
        <w:tc>
          <w:tcPr>
            <w:tcW w:w="200" w:type="dxa"/>
            <w:vAlign w:val="bottom"/>
          </w:tcPr>
          <w:p>
            <w:pPr>
              <w:spacing w:after="0"/>
              <w:rPr>
                <w:sz w:val="15"/>
                <w:szCs w:val="15"/>
                <w:color w:val="auto"/>
              </w:rPr>
            </w:pPr>
          </w:p>
        </w:tc>
        <w:tc>
          <w:tcPr>
            <w:tcW w:w="98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Sep 30,</w:t>
            </w:r>
          </w:p>
        </w:tc>
        <w:tc>
          <w:tcPr>
            <w:tcW w:w="100" w:type="dxa"/>
            <w:vAlign w:val="bottom"/>
          </w:tcPr>
          <w:p>
            <w:pPr>
              <w:spacing w:after="0"/>
              <w:rPr>
                <w:sz w:val="15"/>
                <w:szCs w:val="15"/>
                <w:color w:val="auto"/>
              </w:rPr>
            </w:pPr>
          </w:p>
        </w:tc>
        <w:tc>
          <w:tcPr>
            <w:tcW w:w="94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Jun 30,</w:t>
            </w:r>
          </w:p>
        </w:tc>
        <w:tc>
          <w:tcPr>
            <w:tcW w:w="100" w:type="dxa"/>
            <w:vAlign w:val="bottom"/>
          </w:tcPr>
          <w:p>
            <w:pPr>
              <w:spacing w:after="0"/>
              <w:rPr>
                <w:sz w:val="15"/>
                <w:szCs w:val="15"/>
                <w:color w:val="auto"/>
              </w:rPr>
            </w:pPr>
          </w:p>
        </w:tc>
        <w:tc>
          <w:tcPr>
            <w:tcW w:w="104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color w:val="auto"/>
                <w:w w:val="99"/>
              </w:rPr>
              <w:t>Dec 31,</w:t>
            </w:r>
          </w:p>
        </w:tc>
        <w:tc>
          <w:tcPr>
            <w:tcW w:w="94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Sep 30,</w:t>
            </w:r>
          </w:p>
        </w:tc>
      </w:tr>
      <w:tr>
        <w:trPr>
          <w:trHeight w:val="189"/>
        </w:trPr>
        <w:tc>
          <w:tcPr>
            <w:tcW w:w="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1000" w:type="dxa"/>
            <w:vAlign w:val="bottom"/>
          </w:tcPr>
          <w:p>
            <w:pPr>
              <w:jc w:val="right"/>
              <w:ind w:right="35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5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040" w:type="dxa"/>
            <w:vAlign w:val="bottom"/>
            <w:gridSpan w:val="2"/>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4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6"/>
                <w:szCs w:val="16"/>
                <w:color w:val="auto"/>
              </w:rPr>
            </w:pPr>
          </w:p>
        </w:tc>
        <w:tc>
          <w:tcPr>
            <w:tcW w:w="94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9"/>
        </w:trPr>
        <w:tc>
          <w:tcPr>
            <w:tcW w:w="20" w:type="dxa"/>
            <w:vAlign w:val="bottom"/>
            <w:shd w:val="clear" w:color="auto" w:fill="CCEEFF"/>
          </w:tcPr>
          <w:p>
            <w:pPr>
              <w:spacing w:after="0"/>
              <w:rPr>
                <w:sz w:val="14"/>
                <w:szCs w:val="14"/>
                <w:color w:val="auto"/>
              </w:rPr>
            </w:pPr>
          </w:p>
        </w:tc>
        <w:tc>
          <w:tcPr>
            <w:tcW w:w="29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Custom and owner occupied</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43"/>
        </w:trPr>
        <w:tc>
          <w:tcPr>
            <w:tcW w:w="2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construction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220,495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240,093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231,238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20" w:type="dxa"/>
            <w:vAlign w:val="bottom"/>
            <w:tcBorders>
              <w:bottom w:val="single" w:sz="8" w:color="CCEEFF"/>
            </w:tcBorders>
          </w:tcPr>
          <w:p>
            <w:pPr>
              <w:spacing w:after="0"/>
              <w:rPr>
                <w:sz w:val="21"/>
                <w:szCs w:val="21"/>
                <w:color w:val="auto"/>
              </w:rPr>
            </w:pPr>
          </w:p>
        </w:tc>
        <w:tc>
          <w:tcPr>
            <w:tcW w:w="2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Pre-sold and spec construction</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286,778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261,642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255,542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217,413</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37"/>
        </w:trPr>
        <w:tc>
          <w:tcPr>
            <w:tcW w:w="20" w:type="dxa"/>
            <w:vAlign w:val="bottom"/>
            <w:shd w:val="clear" w:color="auto" w:fill="CCEEFF"/>
          </w:tcPr>
          <w:p>
            <w:pPr>
              <w:spacing w:after="0"/>
              <w:rPr>
                <w:sz w:val="20"/>
                <w:szCs w:val="20"/>
                <w:color w:val="auto"/>
              </w:rPr>
            </w:pPr>
          </w:p>
        </w:tc>
        <w:tc>
          <w:tcPr>
            <w:tcW w:w="2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residential construction</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507,273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501,735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519,255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448,651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3"/>
        </w:trPr>
        <w:tc>
          <w:tcPr>
            <w:tcW w:w="20" w:type="dxa"/>
            <w:vAlign w:val="bottom"/>
          </w:tcPr>
          <w:p>
            <w:pPr>
              <w:spacing w:after="0"/>
              <w:rPr>
                <w:sz w:val="21"/>
                <w:szCs w:val="21"/>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 development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197,981</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2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land or lots</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231,468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207,816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20" w:type="dxa"/>
            <w:vAlign w:val="bottom"/>
          </w:tcPr>
          <w:p>
            <w:pPr>
              <w:spacing w:after="0"/>
              <w:rPr>
                <w:sz w:val="21"/>
                <w:szCs w:val="21"/>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Unimproved land</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43"/>
        </w:trPr>
        <w:tc>
          <w:tcPr>
            <w:tcW w:w="2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lots for operative builders</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20" w:type="dxa"/>
            <w:vAlign w:val="bottom"/>
          </w:tcPr>
          <w:p>
            <w:pPr>
              <w:spacing w:after="0"/>
              <w:rPr>
                <w:sz w:val="21"/>
                <w:szCs w:val="21"/>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lots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43"/>
        </w:trPr>
        <w:tc>
          <w:tcPr>
            <w:tcW w:w="2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construction</w:t>
            </w: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1,333,807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1,254,856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1,122,350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982,743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169"/>
        </w:trPr>
        <w:tc>
          <w:tcPr>
            <w:tcW w:w="20" w:type="dxa"/>
            <w:vAlign w:val="bottom"/>
          </w:tcPr>
          <w:p>
            <w:pPr>
              <w:spacing w:after="0"/>
              <w:rPr>
                <w:sz w:val="14"/>
                <w:szCs w:val="14"/>
                <w:color w:val="auto"/>
              </w:rPr>
            </w:pPr>
          </w:p>
        </w:tc>
        <w:tc>
          <w:tcPr>
            <w:tcW w:w="2960" w:type="dxa"/>
            <w:vAlign w:val="bottom"/>
            <w:gridSpan w:val="2"/>
          </w:tcPr>
          <w:p>
            <w:pPr>
              <w:ind w:left="340"/>
              <w:spacing w:after="0" w:line="169" w:lineRule="exact"/>
              <w:rPr>
                <w:sz w:val="20"/>
                <w:szCs w:val="20"/>
                <w:color w:val="auto"/>
              </w:rPr>
            </w:pPr>
            <w:r>
              <w:rPr>
                <w:rFonts w:ascii="Times New Roman" w:cs="Times New Roman" w:eastAsia="Times New Roman" w:hAnsi="Times New Roman"/>
                <w:sz w:val="18"/>
                <w:szCs w:val="18"/>
                <w:color w:val="auto"/>
              </w:rPr>
              <w:t>Total land, lot, and other</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2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construction</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2,258,357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2,158,107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2,026,594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1,681,660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43"/>
        </w:trPr>
        <w:tc>
          <w:tcPr>
            <w:tcW w:w="2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 occupied</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3,931,551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3,928,083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3,950,726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3,570,671</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20" w:type="dxa"/>
            <w:vAlign w:val="bottom"/>
            <w:tcBorders>
              <w:bottom w:val="single" w:sz="8" w:color="CCEEFF"/>
            </w:tcBorders>
          </w:tcPr>
          <w:p>
            <w:pPr>
              <w:spacing w:after="0"/>
              <w:rPr>
                <w:sz w:val="21"/>
                <w:szCs w:val="21"/>
                <w:color w:val="auto"/>
              </w:rPr>
            </w:pPr>
          </w:p>
        </w:tc>
        <w:tc>
          <w:tcPr>
            <w:tcW w:w="2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Non-owner occupied</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5,346,391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5,195,855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4,859,173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4,333,302</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7"/>
        </w:trPr>
        <w:tc>
          <w:tcPr>
            <w:tcW w:w="20" w:type="dxa"/>
            <w:vAlign w:val="bottom"/>
            <w:shd w:val="clear" w:color="auto" w:fill="CCEEFF"/>
          </w:tcPr>
          <w:p>
            <w:pPr>
              <w:spacing w:after="0"/>
              <w:rPr>
                <w:sz w:val="20"/>
                <w:szCs w:val="20"/>
                <w:color w:val="auto"/>
              </w:rPr>
            </w:pPr>
          </w:p>
        </w:tc>
        <w:tc>
          <w:tcPr>
            <w:tcW w:w="2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9,277,942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9,123,938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8,809,899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7,903,973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20" w:type="dxa"/>
            <w:vAlign w:val="bottom"/>
          </w:tcPr>
          <w:p>
            <w:pPr>
              <w:spacing w:after="0"/>
              <w:rPr>
                <w:sz w:val="21"/>
                <w:szCs w:val="21"/>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1,651,586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1,687,362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1,554,832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2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Agriculture</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1,313,581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1,282,861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1,189,948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20" w:type="dxa"/>
            <w:vAlign w:val="bottom"/>
          </w:tcPr>
          <w:p>
            <w:pPr>
              <w:spacing w:after="0"/>
              <w:rPr>
                <w:sz w:val="21"/>
                <w:szCs w:val="21"/>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lien</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2,996,965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2,579,418</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2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Junior lien</w:t>
            </w: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6"/>
        </w:trPr>
        <w:tc>
          <w:tcPr>
            <w:tcW w:w="20" w:type="dxa"/>
            <w:vAlign w:val="bottom"/>
          </w:tcPr>
          <w:p>
            <w:pPr>
              <w:spacing w:after="0"/>
              <w:rPr>
                <w:sz w:val="20"/>
                <w:szCs w:val="20"/>
                <w:color w:val="auto"/>
              </w:rPr>
            </w:pPr>
          </w:p>
        </w:tc>
        <w:tc>
          <w:tcPr>
            <w:tcW w:w="2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1-4 family</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3,108,466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3,107,566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3,204,228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2,660,986</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2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 residential</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1,102,092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1,075,562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1,019,484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969,573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20" w:type="dxa"/>
            <w:vAlign w:val="bottom"/>
          </w:tcPr>
          <w:p>
            <w:pPr>
              <w:spacing w:after="0"/>
              <w:rPr>
                <w:sz w:val="21"/>
                <w:szCs w:val="21"/>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1,088,925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1,089,052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1,076,201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1,056,757</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2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consumer</w:t>
            </w: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217,260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222,289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237,393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6"/>
        </w:trPr>
        <w:tc>
          <w:tcPr>
            <w:tcW w:w="20" w:type="dxa"/>
            <w:vAlign w:val="bottom"/>
          </w:tcPr>
          <w:p>
            <w:pPr>
              <w:spacing w:after="0"/>
              <w:rPr>
                <w:sz w:val="20"/>
                <w:szCs w:val="20"/>
                <w:color w:val="auto"/>
              </w:rPr>
            </w:pPr>
          </w:p>
        </w:tc>
        <w:tc>
          <w:tcPr>
            <w:tcW w:w="2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consumer</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1,306,185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1,313,594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1,249,258</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2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States and political subdivisions</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955,986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964,591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994,062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20" w:type="dxa"/>
            <w:vAlign w:val="bottom"/>
            <w:tcBorders>
              <w:bottom w:val="single" w:sz="8" w:color="CCEEFF"/>
            </w:tcBorders>
          </w:tcPr>
          <w:p>
            <w:pPr>
              <w:spacing w:after="0"/>
              <w:rPr>
                <w:sz w:val="21"/>
                <w:szCs w:val="21"/>
                <w:color w:val="auto"/>
              </w:rPr>
            </w:pPr>
          </w:p>
        </w:tc>
        <w:tc>
          <w:tcPr>
            <w:tcW w:w="2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177,370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178,847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177,375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180,711</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69"/>
        </w:trPr>
        <w:tc>
          <w:tcPr>
            <w:tcW w:w="20" w:type="dxa"/>
            <w:vAlign w:val="bottom"/>
            <w:shd w:val="clear" w:color="auto" w:fill="CCEEFF"/>
          </w:tcPr>
          <w:p>
            <w:pPr>
              <w:spacing w:after="0"/>
              <w:rPr>
                <w:sz w:val="14"/>
                <w:szCs w:val="14"/>
                <w:color w:val="auto"/>
              </w:rPr>
            </w:pPr>
          </w:p>
        </w:tc>
        <w:tc>
          <w:tcPr>
            <w:tcW w:w="2960" w:type="dxa"/>
            <w:vAlign w:val="bottom"/>
            <w:gridSpan w:val="2"/>
            <w:shd w:val="clear" w:color="auto" w:fill="CCEEFF"/>
          </w:tcPr>
          <w:p>
            <w:pPr>
              <w:ind w:left="340"/>
              <w:spacing w:after="0" w:line="169" w:lineRule="exact"/>
              <w:rPr>
                <w:sz w:val="20"/>
                <w:szCs w:val="20"/>
                <w:color w:val="auto"/>
              </w:rPr>
            </w:pPr>
            <w:r>
              <w:rPr>
                <w:rFonts w:ascii="Times New Roman" w:cs="Times New Roman" w:eastAsia="Times New Roman" w:hAnsi="Times New Roman"/>
                <w:sz w:val="18"/>
                <w:szCs w:val="18"/>
                <w:color w:val="auto"/>
              </w:rPr>
              <w:t>Total loans receivable, including</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43"/>
        </w:trPr>
        <w:tc>
          <w:tcPr>
            <w:tcW w:w="2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21,657,141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21,408,868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20,966,982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18,833,654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20" w:type="dxa"/>
            <w:vAlign w:val="bottom"/>
            <w:tcBorders>
              <w:bottom w:val="single" w:sz="8" w:color="CCEEFF"/>
            </w:tcBorders>
          </w:tcPr>
          <w:p>
            <w:pPr>
              <w:spacing w:after="0"/>
              <w:rPr>
                <w:sz w:val="21"/>
                <w:szCs w:val="21"/>
                <w:color w:val="auto"/>
              </w:rPr>
            </w:pPr>
          </w:p>
        </w:tc>
        <w:tc>
          <w:tcPr>
            <w:tcW w:w="2960" w:type="dxa"/>
            <w:vAlign w:val="bottom"/>
            <w:tcBorders>
              <w:bottom w:val="single" w:sz="8" w:color="CCEEFF"/>
            </w:tcBorders>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Less loans held for sale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(42,668)</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loans receivable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21,619,530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21,363,723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20,927,796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18,790,986</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36" w:lineRule="exact"/>
        <w:rPr>
          <w:sz w:val="20"/>
          <w:szCs w:val="20"/>
          <w:color w:val="auto"/>
        </w:rPr>
      </w:pPr>
    </w:p>
    <w:p>
      <w:pPr>
        <w:ind w:left="100" w:hanging="92"/>
        <w:spacing w:after="0"/>
        <w:tabs>
          <w:tab w:leader="none" w:pos="10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Loans held for sale are primarily First lien 1-4 family loans.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The following table summarizes the Company’s non-performing assets by regulatory classification: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7"/>
              </w:rPr>
              <w:t>Non-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Accruing</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2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Loans 90</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9"/>
              </w:rPr>
              <w:t>Non-performing Assets,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8"/>
              </w:rPr>
              <w:t>Accrual</w:t>
            </w:r>
          </w:p>
        </w:tc>
        <w:tc>
          <w:tcPr>
            <w:tcW w:w="12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Days or</w:t>
            </w:r>
          </w:p>
        </w:tc>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Other Real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6"/>
              </w:rPr>
              <w:t>by Loan Type</w:t>
            </w: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Loans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More Past Due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Estate Owned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rPr>
              <w:t>Sep 30,</w:t>
            </w:r>
          </w:p>
        </w:tc>
        <w:tc>
          <w:tcPr>
            <w:tcW w:w="1120" w:type="dxa"/>
            <w:vAlign w:val="bottom"/>
            <w:gridSpan w:val="2"/>
          </w:tcPr>
          <w:p>
            <w:pPr>
              <w:ind w:left="260"/>
              <w:spacing w:after="0" w:line="182" w:lineRule="exact"/>
              <w:rPr>
                <w:sz w:val="20"/>
                <w:szCs w:val="20"/>
                <w:color w:val="auto"/>
              </w:rPr>
            </w:pPr>
            <w:r>
              <w:rPr>
                <w:rFonts w:ascii="Times New Roman" w:cs="Times New Roman" w:eastAsia="Times New Roman" w:hAnsi="Times New Roman"/>
                <w:sz w:val="18"/>
                <w:szCs w:val="18"/>
                <w:color w:val="auto"/>
              </w:rPr>
              <w:t>Jun 30,</w:t>
            </w:r>
          </w:p>
        </w:tc>
        <w:tc>
          <w:tcPr>
            <w:tcW w:w="1140" w:type="dxa"/>
            <w:vAlign w:val="bottom"/>
            <w:gridSpan w:val="2"/>
          </w:tcPr>
          <w:p>
            <w:pPr>
              <w:ind w:left="260"/>
              <w:spacing w:after="0" w:line="182" w:lineRule="exact"/>
              <w:rPr>
                <w:sz w:val="20"/>
                <w:szCs w:val="20"/>
                <w:color w:val="auto"/>
              </w:rPr>
            </w:pPr>
            <w:r>
              <w:rPr>
                <w:rFonts w:ascii="Times New Roman" w:cs="Times New Roman" w:eastAsia="Times New Roman" w:hAnsi="Times New Roman"/>
                <w:sz w:val="18"/>
                <w:szCs w:val="18"/>
                <w:color w:val="auto"/>
              </w:rPr>
              <w:t>Dec 31,</w:t>
            </w:r>
          </w:p>
        </w:tc>
        <w:tc>
          <w:tcPr>
            <w:tcW w:w="102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color w:val="auto"/>
              </w:rPr>
              <w:t>Sep 30,</w:t>
            </w:r>
          </w:p>
        </w:tc>
        <w:tc>
          <w:tcPr>
            <w:tcW w:w="120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w w:val="99"/>
              </w:rPr>
              <w:t>Sep 30,</w:t>
            </w:r>
          </w:p>
        </w:tc>
        <w:tc>
          <w:tcPr>
            <w:tcW w:w="122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8"/>
                <w:szCs w:val="18"/>
                <w:color w:val="auto"/>
                <w:w w:val="99"/>
              </w:rPr>
              <w:t>Sep 30,</w:t>
            </w:r>
          </w:p>
        </w:tc>
        <w:tc>
          <w:tcPr>
            <w:tcW w:w="11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Sep 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6"/>
                <w:szCs w:val="16"/>
                <w:color w:val="auto"/>
              </w:rPr>
            </w:pPr>
          </w:p>
        </w:tc>
        <w:tc>
          <w:tcPr>
            <w:tcW w:w="860" w:type="dxa"/>
            <w:vAlign w:val="bottom"/>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1040" w:type="dxa"/>
            <w:vAlign w:val="bottom"/>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6"/>
                <w:szCs w:val="16"/>
                <w:color w:val="auto"/>
              </w:rPr>
            </w:pPr>
          </w:p>
        </w:tc>
        <w:tc>
          <w:tcPr>
            <w:tcW w:w="1040" w:type="dxa"/>
            <w:vAlign w:val="bottom"/>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6"/>
                <w:szCs w:val="16"/>
                <w:color w:val="auto"/>
              </w:rPr>
            </w:pPr>
          </w:p>
        </w:tc>
        <w:tc>
          <w:tcPr>
            <w:tcW w:w="940" w:type="dxa"/>
            <w:vAlign w:val="bottom"/>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6"/>
                <w:szCs w:val="16"/>
                <w:color w:val="auto"/>
              </w:rPr>
            </w:pPr>
          </w:p>
        </w:tc>
        <w:tc>
          <w:tcPr>
            <w:tcW w:w="1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 and owner occupied construction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Pre-sold and spec construction</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shd w:val="clear" w:color="auto" w:fill="CCEEFF"/>
          </w:tcPr>
          <w:p>
            <w:pPr>
              <w:spacing w:after="0"/>
              <w:rPr>
                <w:sz w:val="20"/>
                <w:szCs w:val="20"/>
                <w:color w:val="auto"/>
              </w:rPr>
            </w:pPr>
          </w:p>
        </w:tc>
        <w:tc>
          <w:tcPr>
            <w:tcW w:w="32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residential construction</w:t>
            </w:r>
          </w:p>
        </w:tc>
        <w:tc>
          <w:tcPr>
            <w:tcW w:w="1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8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 development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land or lots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Developed lots for operative builders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lots</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construction</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shd w:val="clear" w:color="auto" w:fill="CCEEFF"/>
          </w:tcPr>
          <w:p>
            <w:pPr>
              <w:spacing w:after="0"/>
              <w:rPr>
                <w:sz w:val="20"/>
                <w:szCs w:val="20"/>
                <w:color w:val="auto"/>
              </w:rPr>
            </w:pPr>
          </w:p>
        </w:tc>
        <w:tc>
          <w:tcPr>
            <w:tcW w:w="32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land, lot and other construction</w:t>
            </w:r>
          </w:p>
        </w:tc>
        <w:tc>
          <w:tcPr>
            <w:tcW w:w="1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8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8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Owner occupied</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Non-owner occupied</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20,658</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24,176</w:t>
            </w:r>
          </w:p>
        </w:tc>
        <w:tc>
          <w:tcPr>
            <w:tcW w:w="8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19,614</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29,044</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29,350</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22,659</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18,898</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24,436</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24,165</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Agriculture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9,784</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10,592</w:t>
            </w: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lien</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16,849</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16,733</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15,816</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12,807</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3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Junior lien</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1-4 family</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18,796</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19,035</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17,592</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Multifamily residential</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3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consumer</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consumer</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32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The following table summarizes the Company’s accruing loans 30-89 days past due by regulatory classification: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gridSpan w:val="9"/>
          </w:tcPr>
          <w:p>
            <w:pPr>
              <w:jc w:val="center"/>
              <w:ind w:left="510"/>
              <w:spacing w:after="0"/>
              <w:rPr>
                <w:sz w:val="20"/>
                <w:szCs w:val="20"/>
                <w:color w:val="auto"/>
              </w:rPr>
            </w:pPr>
            <w:r>
              <w:rPr>
                <w:rFonts w:ascii="Times New Roman" w:cs="Times New Roman" w:eastAsia="Times New Roman" w:hAnsi="Times New Roman"/>
                <w:sz w:val="18"/>
                <w:szCs w:val="18"/>
                <w:color w:val="auto"/>
              </w:rPr>
              <w:t>Accruing 30-89 Days Delinquent</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8"/>
              </w:rPr>
              <w:t>Loans, by Loan Type</w:t>
            </w: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 Change from</w:t>
            </w:r>
          </w:p>
        </w:tc>
        <w:tc>
          <w:tcPr>
            <w:tcW w:w="1100" w:type="dxa"/>
            <w:vAlign w:val="bottom"/>
            <w:tcBorders>
              <w:bottom w:val="single" w:sz="8" w:color="auto"/>
            </w:tcBorders>
          </w:tcPr>
          <w:p>
            <w:pPr>
              <w:spacing w:after="0"/>
              <w:rPr>
                <w:sz w:val="21"/>
                <w:szCs w:val="21"/>
                <w:color w:val="auto"/>
              </w:rPr>
            </w:pPr>
          </w:p>
        </w:tc>
      </w:tr>
      <w:tr>
        <w:trPr>
          <w:trHeight w:val="18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Sep 30,</w:t>
            </w:r>
          </w:p>
        </w:tc>
        <w:tc>
          <w:tcPr>
            <w:tcW w:w="160" w:type="dxa"/>
            <w:vAlign w:val="bottom"/>
          </w:tcPr>
          <w:p>
            <w:pPr>
              <w:spacing w:after="0"/>
              <w:rPr>
                <w:sz w:val="15"/>
                <w:szCs w:val="15"/>
                <w:color w:val="auto"/>
              </w:rPr>
            </w:pPr>
          </w:p>
        </w:tc>
        <w:tc>
          <w:tcPr>
            <w:tcW w:w="88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Jun 30,</w:t>
            </w:r>
          </w:p>
        </w:tc>
        <w:tc>
          <w:tcPr>
            <w:tcW w:w="160" w:type="dxa"/>
            <w:vAlign w:val="bottom"/>
          </w:tcPr>
          <w:p>
            <w:pPr>
              <w:spacing w:after="0"/>
              <w:rPr>
                <w:sz w:val="15"/>
                <w:szCs w:val="15"/>
                <w:color w:val="auto"/>
              </w:rPr>
            </w:pPr>
          </w:p>
        </w:tc>
        <w:tc>
          <w:tcPr>
            <w:tcW w:w="9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Dec 31,</w:t>
            </w:r>
          </w:p>
        </w:tc>
        <w:tc>
          <w:tcPr>
            <w:tcW w:w="160" w:type="dxa"/>
            <w:vAlign w:val="bottom"/>
          </w:tcPr>
          <w:p>
            <w:pPr>
              <w:spacing w:after="0"/>
              <w:rPr>
                <w:sz w:val="15"/>
                <w:szCs w:val="15"/>
                <w:color w:val="auto"/>
              </w:rPr>
            </w:pPr>
          </w:p>
        </w:tc>
        <w:tc>
          <w:tcPr>
            <w:tcW w:w="800" w:type="dxa"/>
            <w:vAlign w:val="bottom"/>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rPr>
              <w:t>Sep 30,</w:t>
            </w:r>
          </w:p>
        </w:tc>
        <w:tc>
          <w:tcPr>
            <w:tcW w:w="100" w:type="dxa"/>
            <w:vAlign w:val="bottom"/>
          </w:tcPr>
          <w:p>
            <w:pPr>
              <w:spacing w:after="0"/>
              <w:rPr>
                <w:sz w:val="15"/>
                <w:szCs w:val="15"/>
                <w:color w:val="auto"/>
              </w:rPr>
            </w:pPr>
          </w:p>
        </w:tc>
        <w:tc>
          <w:tcPr>
            <w:tcW w:w="110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rPr>
              <w:t>Jun 30,</w:t>
            </w:r>
          </w:p>
        </w:tc>
        <w:tc>
          <w:tcPr>
            <w:tcW w:w="100" w:type="dxa"/>
            <w:vAlign w:val="bottom"/>
          </w:tcPr>
          <w:p>
            <w:pPr>
              <w:spacing w:after="0"/>
              <w:rPr>
                <w:sz w:val="15"/>
                <w:szCs w:val="15"/>
                <w:color w:val="auto"/>
              </w:rPr>
            </w:pPr>
          </w:p>
        </w:tc>
        <w:tc>
          <w:tcPr>
            <w:tcW w:w="120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color w:val="auto"/>
                <w:w w:val="99"/>
              </w:rPr>
              <w:t>Dec 31,</w:t>
            </w:r>
          </w:p>
        </w:tc>
        <w:tc>
          <w:tcPr>
            <w:tcW w:w="110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rPr>
              <w:t>Sep 30,</w:t>
            </w:r>
          </w:p>
        </w:tc>
      </w:tr>
      <w:tr>
        <w:trPr>
          <w:trHeight w:val="203"/>
        </w:trPr>
        <w:tc>
          <w:tcPr>
            <w:tcW w:w="20" w:type="dxa"/>
            <w:vAlign w:val="bottom"/>
          </w:tcPr>
          <w:p>
            <w:pPr>
              <w:spacing w:after="0"/>
              <w:rPr>
                <w:sz w:val="17"/>
                <w:szCs w:val="17"/>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7"/>
                <w:szCs w:val="17"/>
                <w:color w:val="auto"/>
              </w:rPr>
            </w:pPr>
          </w:p>
        </w:tc>
        <w:tc>
          <w:tcPr>
            <w:tcW w:w="780" w:type="dxa"/>
            <w:vAlign w:val="bottom"/>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1200" w:type="dxa"/>
            <w:vAlign w:val="bottom"/>
            <w:gridSpan w:val="2"/>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1200" w:type="dxa"/>
            <w:vAlign w:val="bottom"/>
            <w:gridSpan w:val="2"/>
          </w:tcPr>
          <w:p>
            <w:pPr>
              <w:jc w:val="center"/>
              <w:ind w:left="30"/>
              <w:spacing w:after="0" w:line="202" w:lineRule="exact"/>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7"/>
                <w:szCs w:val="17"/>
                <w:color w:val="auto"/>
              </w:rPr>
            </w:pPr>
          </w:p>
        </w:tc>
        <w:tc>
          <w:tcPr>
            <w:tcW w:w="110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 and owner occupied construction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43"/>
        </w:trPr>
        <w:tc>
          <w:tcPr>
            <w:tcW w:w="20" w:type="dxa"/>
            <w:vAlign w:val="bottom"/>
            <w:tcBorders>
              <w:bottom w:val="single" w:sz="8" w:color="CCEEFF"/>
            </w:tcBorders>
          </w:tcPr>
          <w:p>
            <w:pPr>
              <w:spacing w:after="0"/>
              <w:rPr>
                <w:sz w:val="21"/>
                <w:szCs w:val="21"/>
                <w:color w:val="auto"/>
              </w:rPr>
            </w:pPr>
          </w:p>
        </w:tc>
        <w:tc>
          <w:tcPr>
            <w:tcW w:w="3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Pre-sold and spec construction</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7"/>
        </w:trPr>
        <w:tc>
          <w:tcPr>
            <w:tcW w:w="20" w:type="dxa"/>
            <w:vAlign w:val="bottom"/>
            <w:shd w:val="clear" w:color="auto" w:fill="CCEEFF"/>
          </w:tcPr>
          <w:p>
            <w:pPr>
              <w:spacing w:after="0"/>
              <w:rPr>
                <w:sz w:val="20"/>
                <w:szCs w:val="20"/>
                <w:color w:val="auto"/>
              </w:rPr>
            </w:pPr>
          </w:p>
        </w:tc>
        <w:tc>
          <w:tcPr>
            <w:tcW w:w="3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residential construction</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r>
      <w:tr>
        <w:trPr>
          <w:trHeight w:val="243"/>
        </w:trPr>
        <w:tc>
          <w:tcPr>
            <w:tcW w:w="2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 development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20" w:type="dxa"/>
            <w:vAlign w:val="bottom"/>
            <w:shd w:val="clear" w:color="auto" w:fill="CCEEFF"/>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land or lots</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43"/>
        </w:trPr>
        <w:tc>
          <w:tcPr>
            <w:tcW w:w="2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Unimproved land</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2,178 %</w:t>
            </w:r>
          </w:p>
        </w:tc>
        <w:tc>
          <w:tcPr>
            <w:tcW w:w="10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1,142 %</w:t>
            </w:r>
          </w:p>
        </w:tc>
      </w:tr>
      <w:tr>
        <w:trPr>
          <w:trHeight w:val="243"/>
        </w:trPr>
        <w:tc>
          <w:tcPr>
            <w:tcW w:w="20" w:type="dxa"/>
            <w:vAlign w:val="bottom"/>
            <w:shd w:val="clear" w:color="auto" w:fill="CCEEFF"/>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lots for operative builders</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2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lots</w:t>
            </w:r>
          </w:p>
        </w:tc>
        <w:tc>
          <w:tcPr>
            <w:tcW w:w="1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20" w:type="dxa"/>
            <w:vAlign w:val="bottom"/>
            <w:shd w:val="clear" w:color="auto" w:fill="CCEEFF"/>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construction</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7"/>
        </w:trPr>
        <w:tc>
          <w:tcPr>
            <w:tcW w:w="20" w:type="dxa"/>
            <w:vAlign w:val="bottom"/>
          </w:tcPr>
          <w:p>
            <w:pPr>
              <w:spacing w:after="0"/>
              <w:rPr>
                <w:sz w:val="20"/>
                <w:szCs w:val="20"/>
                <w:color w:val="auto"/>
              </w:rPr>
            </w:pPr>
          </w:p>
        </w:tc>
        <w:tc>
          <w:tcPr>
            <w:tcW w:w="3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land, lot and other construction</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20" w:type="dxa"/>
            <w:vAlign w:val="bottom"/>
            <w:shd w:val="clear" w:color="auto" w:fill="CCEEFF"/>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 occupied</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43"/>
        </w:trPr>
        <w:tc>
          <w:tcPr>
            <w:tcW w:w="20" w:type="dxa"/>
            <w:vAlign w:val="bottom"/>
            <w:tcBorders>
              <w:bottom w:val="single" w:sz="8" w:color="CCEEFF"/>
            </w:tcBorders>
          </w:tcPr>
          <w:p>
            <w:pPr>
              <w:spacing w:after="0"/>
              <w:rPr>
                <w:sz w:val="21"/>
                <w:szCs w:val="21"/>
                <w:color w:val="auto"/>
              </w:rPr>
            </w:pPr>
          </w:p>
        </w:tc>
        <w:tc>
          <w:tcPr>
            <w:tcW w:w="3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Non-owner occupied</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7"/>
        </w:trPr>
        <w:tc>
          <w:tcPr>
            <w:tcW w:w="20" w:type="dxa"/>
            <w:vAlign w:val="bottom"/>
            <w:shd w:val="clear" w:color="auto" w:fill="CCEEFF"/>
          </w:tcPr>
          <w:p>
            <w:pPr>
              <w:spacing w:after="0"/>
              <w:rPr>
                <w:sz w:val="20"/>
                <w:szCs w:val="20"/>
                <w:color w:val="auto"/>
              </w:rPr>
            </w:pPr>
          </w:p>
        </w:tc>
        <w:tc>
          <w:tcPr>
            <w:tcW w:w="3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2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43"/>
        </w:trPr>
        <w:tc>
          <w:tcPr>
            <w:tcW w:w="20" w:type="dxa"/>
            <w:vAlign w:val="bottom"/>
            <w:shd w:val="clear" w:color="auto" w:fill="CCEEFF"/>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Agriculture</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2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lien</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312 %</w:t>
            </w:r>
          </w:p>
        </w:tc>
      </w:tr>
      <w:tr>
        <w:trPr>
          <w:trHeight w:val="243"/>
        </w:trPr>
        <w:tc>
          <w:tcPr>
            <w:tcW w:w="20" w:type="dxa"/>
            <w:vAlign w:val="bottom"/>
            <w:shd w:val="clear" w:color="auto" w:fill="CCEEFF"/>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Junior lien</w:t>
            </w: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7,580 %</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7"/>
        </w:trPr>
        <w:tc>
          <w:tcPr>
            <w:tcW w:w="20" w:type="dxa"/>
            <w:vAlign w:val="bottom"/>
          </w:tcPr>
          <w:p>
            <w:pPr>
              <w:spacing w:after="0"/>
              <w:rPr>
                <w:sz w:val="20"/>
                <w:szCs w:val="20"/>
                <w:color w:val="auto"/>
              </w:rPr>
            </w:pPr>
          </w:p>
        </w:tc>
        <w:tc>
          <w:tcPr>
            <w:tcW w:w="3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1-4 family</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341 %</w:t>
            </w:r>
          </w:p>
        </w:tc>
      </w:tr>
      <w:tr>
        <w:trPr>
          <w:trHeight w:val="243"/>
        </w:trPr>
        <w:tc>
          <w:tcPr>
            <w:tcW w:w="20" w:type="dxa"/>
            <w:vAlign w:val="bottom"/>
            <w:shd w:val="clear" w:color="auto" w:fill="CCEEFF"/>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 residential</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2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20" w:type="dxa"/>
            <w:vAlign w:val="bottom"/>
            <w:shd w:val="clear" w:color="auto" w:fill="CCEEFF"/>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0" w:type="dxa"/>
            <w:vAlign w:val="bottom"/>
          </w:tcPr>
          <w:p>
            <w:pPr>
              <w:spacing w:after="0"/>
              <w:rPr>
                <w:sz w:val="20"/>
                <w:szCs w:val="20"/>
                <w:color w:val="auto"/>
              </w:rPr>
            </w:pPr>
          </w:p>
        </w:tc>
        <w:tc>
          <w:tcPr>
            <w:tcW w:w="3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consumer</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20" w:type="dxa"/>
            <w:vAlign w:val="bottom"/>
            <w:shd w:val="clear" w:color="auto" w:fill="CCEEFF"/>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States and political subdivisions</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20" w:type="dxa"/>
            <w:vAlign w:val="bottom"/>
            <w:tcBorders>
              <w:bottom w:val="single" w:sz="8" w:color="CCEEFF"/>
            </w:tcBorders>
          </w:tcPr>
          <w:p>
            <w:pPr>
              <w:spacing w:after="0"/>
              <w:rPr>
                <w:sz w:val="21"/>
                <w:szCs w:val="21"/>
                <w:color w:val="auto"/>
              </w:rPr>
            </w:pPr>
          </w:p>
        </w:tc>
        <w:tc>
          <w:tcPr>
            <w:tcW w:w="3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measurable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7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charge-offs and recoveries by regulatory classification:</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Net Charge-Offs (Recoveries),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4"/>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5"/>
          </w:tcPr>
          <w:p>
            <w:pPr>
              <w:jc w:val="center"/>
              <w:ind w:right="280"/>
              <w:spacing w:after="0" w:line="184" w:lineRule="exact"/>
              <w:rPr>
                <w:sz w:val="20"/>
                <w:szCs w:val="20"/>
                <w:color w:val="auto"/>
              </w:rPr>
            </w:pPr>
            <w:r>
              <w:rPr>
                <w:rFonts w:ascii="Times New Roman" w:cs="Times New Roman" w:eastAsia="Times New Roman" w:hAnsi="Times New Roman"/>
                <w:sz w:val="18"/>
                <w:szCs w:val="18"/>
                <w:color w:val="auto"/>
                <w:w w:val="98"/>
              </w:rPr>
              <w:t>Year-to-Date Period Ending,</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8"/>
              </w:rPr>
              <w:t>By Loan Type</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Charge-Offs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Recoveries</w:t>
            </w: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Sep 30,</w:t>
            </w:r>
          </w:p>
        </w:tc>
        <w:tc>
          <w:tcPr>
            <w:tcW w:w="1300" w:type="dxa"/>
            <w:vAlign w:val="bottom"/>
            <w:gridSpan w:val="2"/>
          </w:tcPr>
          <w:p>
            <w:pPr>
              <w:ind w:left="320"/>
              <w:spacing w:after="0" w:line="182" w:lineRule="exact"/>
              <w:rPr>
                <w:sz w:val="20"/>
                <w:szCs w:val="20"/>
                <w:color w:val="auto"/>
              </w:rPr>
            </w:pPr>
            <w:r>
              <w:rPr>
                <w:rFonts w:ascii="Times New Roman" w:cs="Times New Roman" w:eastAsia="Times New Roman" w:hAnsi="Times New Roman"/>
                <w:sz w:val="18"/>
                <w:szCs w:val="18"/>
                <w:color w:val="auto"/>
              </w:rPr>
              <w:t>Jun 30,</w:t>
            </w:r>
          </w:p>
        </w:tc>
        <w:tc>
          <w:tcPr>
            <w:tcW w:w="1460" w:type="dxa"/>
            <w:vAlign w:val="bottom"/>
            <w:gridSpan w:val="3"/>
          </w:tcPr>
          <w:p>
            <w:pPr>
              <w:ind w:left="300"/>
              <w:spacing w:after="0" w:line="182" w:lineRule="exact"/>
              <w:rPr>
                <w:sz w:val="20"/>
                <w:szCs w:val="20"/>
                <w:color w:val="auto"/>
              </w:rPr>
            </w:pPr>
            <w:r>
              <w:rPr>
                <w:rFonts w:ascii="Times New Roman" w:cs="Times New Roman" w:eastAsia="Times New Roman" w:hAnsi="Times New Roman"/>
                <w:sz w:val="18"/>
                <w:szCs w:val="18"/>
                <w:color w:val="auto"/>
              </w:rPr>
              <w:t>Dec 31,</w:t>
            </w:r>
          </w:p>
        </w:tc>
        <w:tc>
          <w:tcPr>
            <w:tcW w:w="112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color w:val="auto"/>
              </w:rPr>
              <w:t>Sep 30,</w:t>
            </w:r>
          </w:p>
        </w:tc>
        <w:tc>
          <w:tcPr>
            <w:tcW w:w="130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8"/>
                <w:szCs w:val="18"/>
                <w:color w:val="auto"/>
                <w:w w:val="99"/>
              </w:rPr>
              <w:t>Sep 30,</w:t>
            </w:r>
          </w:p>
        </w:tc>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Sep 30,</w:t>
            </w:r>
          </w:p>
        </w:tc>
      </w:tr>
      <w:tr>
        <w:trPr>
          <w:trHeight w:val="189"/>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96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6"/>
                <w:szCs w:val="16"/>
                <w:color w:val="auto"/>
              </w:rPr>
            </w:pPr>
          </w:p>
        </w:tc>
        <w:tc>
          <w:tcPr>
            <w:tcW w:w="1180" w:type="dxa"/>
            <w:vAlign w:val="bottom"/>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6"/>
                <w:szCs w:val="16"/>
                <w:color w:val="auto"/>
              </w:rPr>
            </w:pPr>
          </w:p>
        </w:tc>
        <w:tc>
          <w:tcPr>
            <w:tcW w:w="1180" w:type="dxa"/>
            <w:vAlign w:val="bottom"/>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6"/>
                <w:szCs w:val="16"/>
                <w:color w:val="auto"/>
              </w:rPr>
            </w:pP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6"/>
                <w:szCs w:val="16"/>
                <w:color w:val="auto"/>
              </w:rPr>
            </w:pP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2026</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development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land or lots</w:t>
            </w:r>
          </w:p>
        </w:tc>
        <w:tc>
          <w:tcPr>
            <w:tcW w:w="2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lots for operative builders</w:t>
            </w: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3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land, lot and other construction</w:t>
            </w:r>
          </w:p>
        </w:tc>
        <w:tc>
          <w:tcPr>
            <w:tcW w:w="2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 occupied</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43"/>
        </w:trPr>
        <w:tc>
          <w:tcPr>
            <w:tcW w:w="20" w:type="dxa"/>
            <w:vAlign w:val="bottom"/>
            <w:tcBorders>
              <w:bottom w:val="single" w:sz="8" w:color="CCEEFF"/>
            </w:tcBorders>
          </w:tcPr>
          <w:p>
            <w:pPr>
              <w:spacing w:after="0"/>
              <w:rPr>
                <w:sz w:val="21"/>
                <w:szCs w:val="21"/>
                <w:color w:val="auto"/>
              </w:rPr>
            </w:pPr>
          </w:p>
        </w:tc>
        <w:tc>
          <w:tcPr>
            <w:tcW w:w="3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Non-owner occupied</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7"/>
        </w:trPr>
        <w:tc>
          <w:tcPr>
            <w:tcW w:w="20" w:type="dxa"/>
            <w:vAlign w:val="bottom"/>
            <w:shd w:val="clear" w:color="auto" w:fill="CCEEFF"/>
          </w:tcPr>
          <w:p>
            <w:pPr>
              <w:spacing w:after="0"/>
              <w:rPr>
                <w:sz w:val="20"/>
                <w:szCs w:val="20"/>
                <w:color w:val="auto"/>
              </w:rPr>
            </w:pPr>
          </w:p>
        </w:tc>
        <w:tc>
          <w:tcPr>
            <w:tcW w:w="3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commercial real estate</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43"/>
        </w:trPr>
        <w:tc>
          <w:tcPr>
            <w:tcW w:w="2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43"/>
        </w:trPr>
        <w:tc>
          <w:tcPr>
            <w:tcW w:w="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Agriculture</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2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lien</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Junior lien</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6"/>
        </w:trPr>
        <w:tc>
          <w:tcPr>
            <w:tcW w:w="20" w:type="dxa"/>
            <w:vAlign w:val="bottom"/>
          </w:tcPr>
          <w:p>
            <w:pPr>
              <w:spacing w:after="0"/>
              <w:rPr>
                <w:sz w:val="20"/>
                <w:szCs w:val="20"/>
                <w:color w:val="auto"/>
              </w:rPr>
            </w:pPr>
          </w:p>
        </w:tc>
        <w:tc>
          <w:tcPr>
            <w:tcW w:w="3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1-4 family</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43"/>
        </w:trPr>
        <w:tc>
          <w:tcPr>
            <w:tcW w:w="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 residential</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consumer</w:t>
            </w: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37"/>
        </w:trPr>
        <w:tc>
          <w:tcPr>
            <w:tcW w:w="20" w:type="dxa"/>
            <w:vAlign w:val="bottom"/>
          </w:tcPr>
          <w:p>
            <w:pPr>
              <w:spacing w:after="0"/>
              <w:rPr>
                <w:sz w:val="20"/>
                <w:szCs w:val="20"/>
                <w:color w:val="auto"/>
              </w:rPr>
            </w:pPr>
          </w:p>
        </w:tc>
        <w:tc>
          <w:tcPr>
            <w:tcW w:w="3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consumer</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43"/>
        </w:trPr>
        <w:tc>
          <w:tcPr>
            <w:tcW w:w="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11,137</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r>
      <w:tr>
        <w:trPr>
          <w:trHeight w:val="237"/>
        </w:trPr>
        <w:tc>
          <w:tcPr>
            <w:tcW w:w="20" w:type="dxa"/>
            <w:vAlign w:val="bottom"/>
          </w:tcPr>
          <w:p>
            <w:pPr>
              <w:spacing w:after="0"/>
              <w:rPr>
                <w:sz w:val="20"/>
                <w:szCs w:val="20"/>
                <w:color w:val="auto"/>
              </w:rPr>
            </w:pPr>
          </w:p>
        </w:tc>
        <w:tc>
          <w:tcPr>
            <w:tcW w:w="3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14,933</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18,578</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Sources of Funds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Company’s deposits have traditionally been the principal source of funds for use in lending and other business purposes. The Company also obtains funds from repayment of loans and debt securities, repurchase agreements, wholesale deposits, advances from FHLB, Federal Reserve facilities, and other borrowings. Loan repayments are a relatively stable source of funds, while interest bearing deposit inflows and outflows are significantly influenced by general interest rate levels and market conditions. Borrowings and advances may be used on a short-term basis to compensate for reductions in normal sources of funds such as deposit inflows at less than projected levels. Borrowings also may be used on a long-term basis to support expanded activities, match maturities of longer-term assets or manage interest rate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Deposits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several deposit programs designed to attract both short-term and long-term deposits from the general public by providing a wide selection of accounts and rates. These programs include non-interest bearing deposit accounts and interest bearing deposit accounts such as negotiable on withdrawal (“NOW”), demand deposit accounts (“DDA”), savings, money market deposits, fixed rate certificates of deposit with maturities ranging from three months to five years, negotiated-rate jumbo certificates, and individual retirement accounts. These deposits are obtained primarily from individual and business residents in the Bank’s geographic market areas. Wholesale deposits are obtained through various programs and include brokered deposits classified as NOW, DDA, money market deposits and certificate accounts. The Company’s deposits are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 2026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183"/>
        </w:trPr>
        <w:tc>
          <w:tcPr>
            <w:tcW w:w="20" w:type="dxa"/>
            <w:vAlign w:val="bottom"/>
          </w:tcPr>
          <w:p>
            <w:pPr>
              <w:spacing w:after="0"/>
              <w:rPr>
                <w:sz w:val="15"/>
                <w:szCs w:val="15"/>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5"/>
                <w:szCs w:val="15"/>
                <w:color w:val="auto"/>
              </w:rPr>
            </w:pPr>
          </w:p>
        </w:tc>
        <w:tc>
          <w:tcPr>
            <w:tcW w:w="1120" w:type="dxa"/>
            <w:vAlign w:val="bottom"/>
            <w:gridSpan w:val="2"/>
          </w:tcPr>
          <w:p>
            <w:pPr>
              <w:ind w:left="120"/>
              <w:spacing w:after="0" w:line="169" w:lineRule="exact"/>
              <w:rPr>
                <w:sz w:val="20"/>
                <w:szCs w:val="20"/>
                <w:color w:val="auto"/>
              </w:rPr>
            </w:pPr>
            <w:r>
              <w:rPr>
                <w:rFonts w:ascii="Times New Roman" w:cs="Times New Roman" w:eastAsia="Times New Roman" w:hAnsi="Times New Roman"/>
                <w:sz w:val="18"/>
                <w:szCs w:val="18"/>
                <w:color w:val="auto"/>
              </w:rPr>
              <w:t>Amount</w:t>
            </w:r>
          </w:p>
        </w:tc>
        <w:tc>
          <w:tcPr>
            <w:tcW w:w="1420" w:type="dxa"/>
            <w:vAlign w:val="bottom"/>
            <w:gridSpan w:val="2"/>
          </w:tcPr>
          <w:p>
            <w:pPr>
              <w:ind w:left="380"/>
              <w:spacing w:after="0" w:line="169" w:lineRule="exact"/>
              <w:rPr>
                <w:sz w:val="20"/>
                <w:szCs w:val="20"/>
                <w:color w:val="auto"/>
              </w:rPr>
            </w:pPr>
            <w:r>
              <w:rPr>
                <w:rFonts w:ascii="Times New Roman" w:cs="Times New Roman" w:eastAsia="Times New Roman" w:hAnsi="Times New Roman"/>
                <w:sz w:val="18"/>
                <w:szCs w:val="18"/>
                <w:color w:val="auto"/>
              </w:rPr>
              <w:t>Percent</w:t>
            </w:r>
          </w:p>
        </w:tc>
        <w:tc>
          <w:tcPr>
            <w:tcW w:w="220" w:type="dxa"/>
            <w:vAlign w:val="bottom"/>
          </w:tcPr>
          <w:p>
            <w:pPr>
              <w:spacing w:after="0"/>
              <w:rPr>
                <w:sz w:val="15"/>
                <w:szCs w:val="15"/>
                <w:color w:val="auto"/>
              </w:rPr>
            </w:pPr>
          </w:p>
        </w:tc>
        <w:tc>
          <w:tcPr>
            <w:tcW w:w="110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Amount</w:t>
            </w:r>
          </w:p>
        </w:tc>
        <w:tc>
          <w:tcPr>
            <w:tcW w:w="1440" w:type="dxa"/>
            <w:vAlign w:val="bottom"/>
            <w:gridSpan w:val="2"/>
          </w:tcPr>
          <w:p>
            <w:pPr>
              <w:ind w:left="400"/>
              <w:spacing w:after="0" w:line="169" w:lineRule="exact"/>
              <w:rPr>
                <w:sz w:val="20"/>
                <w:szCs w:val="20"/>
                <w:color w:val="auto"/>
              </w:rPr>
            </w:pPr>
            <w:r>
              <w:rPr>
                <w:rFonts w:ascii="Times New Roman" w:cs="Times New Roman" w:eastAsia="Times New Roman" w:hAnsi="Times New Roman"/>
                <w:sz w:val="18"/>
                <w:szCs w:val="18"/>
                <w:color w:val="auto"/>
              </w:rPr>
              <w:t>Percent</w:t>
            </w:r>
          </w:p>
        </w:tc>
        <w:tc>
          <w:tcPr>
            <w:tcW w:w="200" w:type="dxa"/>
            <w:vAlign w:val="bottom"/>
          </w:tcPr>
          <w:p>
            <w:pPr>
              <w:spacing w:after="0"/>
              <w:rPr>
                <w:sz w:val="15"/>
                <w:szCs w:val="15"/>
                <w:color w:val="auto"/>
              </w:rPr>
            </w:pPr>
          </w:p>
        </w:tc>
        <w:tc>
          <w:tcPr>
            <w:tcW w:w="112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Amount</w:t>
            </w:r>
          </w:p>
        </w:tc>
        <w:tc>
          <w:tcPr>
            <w:tcW w:w="132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Percent</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7,702,429</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7,314,779</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6,674,441</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43"/>
        </w:trPr>
        <w:tc>
          <w:tcPr>
            <w:tcW w:w="20" w:type="dxa"/>
            <w:vAlign w:val="bottom"/>
          </w:tcPr>
          <w:p>
            <w:pPr>
              <w:spacing w:after="0"/>
              <w:rPr>
                <w:sz w:val="21"/>
                <w:szCs w:val="21"/>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 and DDA accounts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6,139,924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6,236,551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5,805,816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43"/>
        </w:trPr>
        <w:tc>
          <w:tcPr>
            <w:tcW w:w="20" w:type="dxa"/>
            <w:vAlign w:val="bottom"/>
            <w:shd w:val="clear" w:color="auto" w:fill="CCEEFF"/>
          </w:tcPr>
          <w:p>
            <w:pPr>
              <w:spacing w:after="0"/>
              <w:rPr>
                <w:sz w:val="21"/>
                <w:szCs w:val="21"/>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3,225,270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3,158,939</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3,049,753</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20" w:type="dxa"/>
            <w:vAlign w:val="bottom"/>
          </w:tcPr>
          <w:p>
            <w:pPr>
              <w:spacing w:after="0"/>
              <w:rPr>
                <w:sz w:val="21"/>
                <w:szCs w:val="21"/>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deposit accounts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4,458,524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3,948,201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3,137,810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20" w:type="dxa"/>
            <w:vAlign w:val="bottom"/>
            <w:shd w:val="clear" w:color="auto" w:fill="CCEEFF"/>
          </w:tcPr>
          <w:p>
            <w:pPr>
              <w:spacing w:after="0"/>
              <w:rPr>
                <w:sz w:val="21"/>
                <w:szCs w:val="21"/>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accounts</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3,743,285</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3,928,550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3,199,825</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20" w:type="dxa"/>
            <w:vAlign w:val="bottom"/>
          </w:tcPr>
          <w:p>
            <w:pPr>
              <w:spacing w:after="0"/>
              <w:rPr>
                <w:sz w:val="21"/>
                <w:szCs w:val="21"/>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Wholesale deposits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100" w:type="dxa"/>
            <w:vAlign w:val="bottom"/>
          </w:tcPr>
          <w:p>
            <w:pPr>
              <w:spacing w:after="0"/>
              <w:rPr>
                <w:sz w:val="21"/>
                <w:szCs w:val="21"/>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20" w:type="dxa"/>
            <w:vAlign w:val="bottom"/>
            <w:tcBorders>
              <w:top w:val="single" w:sz="8" w:color="CCEEFF"/>
            </w:tcBorders>
            <w:shd w:val="clear" w:color="auto" w:fill="CCEEFF"/>
          </w:tcPr>
          <w:p>
            <w:pPr>
              <w:spacing w:after="0"/>
              <w:rPr>
                <w:sz w:val="20"/>
                <w:szCs w:val="20"/>
                <w:color w:val="auto"/>
              </w:rPr>
            </w:pPr>
          </w:p>
        </w:tc>
        <w:tc>
          <w:tcPr>
            <w:tcW w:w="308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interest bearing deposits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17,570,308</w:t>
            </w:r>
          </w:p>
        </w:tc>
        <w:tc>
          <w:tcPr>
            <w:tcW w:w="10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17,276,317</w:t>
            </w:r>
          </w:p>
        </w:tc>
        <w:tc>
          <w:tcPr>
            <w:tcW w:w="10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15,196,508</w:t>
            </w:r>
          </w:p>
        </w:tc>
        <w:tc>
          <w:tcPr>
            <w:tcW w:w="12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6"/>
        </w:trPr>
        <w:tc>
          <w:tcPr>
            <w:tcW w:w="20" w:type="dxa"/>
            <w:vAlign w:val="bottom"/>
          </w:tcPr>
          <w:p>
            <w:pPr>
              <w:spacing w:after="0"/>
              <w:rPr>
                <w:sz w:val="20"/>
                <w:szCs w:val="20"/>
                <w:color w:val="auto"/>
              </w:rPr>
            </w:pPr>
          </w:p>
        </w:tc>
        <w:tc>
          <w:tcPr>
            <w:tcW w:w="3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25,272,737</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24,591,096</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21,870,949</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Borrowings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Bank has secured borrowings through repurchase agreements. This process involves the selling of one or more of the securities in the Bank’s investment portfolio and simultaneously entering into an agreement to repurchase the same securities at an agreed upon later date, typically overnight. A rate of interest is paid for the agreed period of time. The Bank enters into repurchase agreements with local municipalities, and certain customers, and has adopted procedures designed to ensure proper transfer of title and safekeeping of the underlying securities. In addition to retail repurchase agreements, the Bank periodically enters into wholesale repurchase agreements as additional funding sources. The Bank has not entered into reverse repurchase agreements.</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Bank is a member of the FHLB of Des Moines, which is one of eleven banks that comprise the FHLB system. The Bank is required to maintain a certain level of activity-based stock in order to borrow or to engage in other transactions with the FHLB of Des Moines. Additionally, the Bank is subject to a membership capital stock requirement that is based upon an annual calibration tied to the total assets of the Bank. The borrowings are collateralized by eligible categories of loans and debt securities (principally, securities which are obligations of, or guaranteed by, the U.S. government and its agencies), provided certain standards related to credit-worthiness have been met. Advances are made pursuant to several different credit programs, each of which has its own interest rates and range of maturities. The Bank’s maximum amount of FHLB advances is limited to the lesser of a fixed percentage of the Bank’s total assets or the discounted value of eligible collateral. FHLB advances fluctuate to meet seasonal and other withdrawals of deposits and to expand lending or investment opportunities of the Bank.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 has other sources of secured and unsecured borrowing lines from various sources that may be used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auto"/>
        </w:rPr>
        <w:t>Short-term borrowings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critical component of the Company’s liquidity and capital resources is access to short-term borrowings to fund its operations. Short-term borrowings are accompanied by increased risks managed by the Bank’s Asset Liability Committee (“ALCO”) such as rate increases or unfavorable change in terms which would make it more costly to obtain future short-term borrowings. The Company’s short-term borrowing sources include FHLB advances, federal funds purchased and retail and wholesale repurchase agreements. The Company also has access to the short-term discount window borrowing programs (i.e., primary credit) of the FRB as well as a line of credit with a large national banking institution. FHLB advances and certain other short-term borrowings may be renewed as long-term borrowings to decrease certain risks such as liquidity or interest rate risk; however, the reduction in risks are weighed against the increased cost of funds and other risks.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Subordinated Debentures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funds obtained in the ordinary course of business, the Company formed or acquired financing subsidiaries for the purpose of issuing or holding trust preferred securities that entitle the investor to receive cumulative cash distributions thereon. Subordinated debentures were issued in conjunction with the trust preferred securities and the terms of the subordinated debentures and trust preferred securities are the same. For regulatory capital purposes, the trust preferred securities are included in Tier 2 capital at September 30, 2026. The subordinated debentures outstanding as of September 30, 2026 were $174 million, including fair value adjustments from acquisitions.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Contractual Obligations and Off-Balance Sheet Arrangements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there may be various outstanding commitments to obtain funding and to extend credit, such as letters of credit and unfunded loan commitments, which are not reflected in the accompanying condensed consolidated financial statements. The Company assessed the off-balance sheet credit exposures as of September 30, 2026 and determined its ACL of $28.2 million was adequate to absorb the estimated credit losses.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Off-balance sheet arrangements also include any obligation related to a variable interest held in an unconsolidated entity. The Company does not anticipate any material losses as a result of these transactions. For additional information regarding the Company’s interests in unconsolidated VIEs, see Note 7 to the Unaudited Condensed Consolidated Financial Statements in “Part I. 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the normal course of business, the Company has commitments that require material cash requirements for customer deposits outflows, repurchase agreements, borrowed funds, lease obligations, off-balance sheet obligations, operating expenses and other contractual obligations. The source of funding for such requirements includes loan repayments, customer deposit inflows, borrowings, revenue from operations, and capital resources. Liquidity risk is the possibility that the Company will not be able to fund present and future obligations as they come due because of an inability to liquidate assets or obtain adequate funding at a reasonable cost. The objective of liquidity management is to maintain cash flows adequate to meet current and future needs for credit demand, deposit withdrawals, maturing liabilities and corporate operating expenses. Effective liquidity management entails three elements:</w:t>
      </w:r>
    </w:p>
    <w:p>
      <w:pPr>
        <w:spacing w:after="0" w:line="90" w:lineRule="exact"/>
        <w:rPr>
          <w:sz w:val="20"/>
          <w:szCs w:val="20"/>
          <w:color w:val="auto"/>
        </w:rPr>
      </w:pPr>
    </w:p>
    <w:p>
      <w:pPr>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on an ongoing basis, the current and expected future needs for funds, and ensuring that sufficient funds or access to funds exist to meet those needs at the appropriate time;</w:t>
      </w:r>
    </w:p>
    <w:p>
      <w:pPr>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an adequate cushion of liquidity to meet unanticipated cash flow needs that may arise from potential adverse circumstances ranging from high probability/low severity events to low probability/high severity; and</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balancing the benefits between providing for adequate liquidity to mitigate potential adverse events and the cost of that liquidity.</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wide range of versatility in managing the liquidity and asset/liability mix. The Bank’s ALCO meets regularly to assess liquidity risk, among other matters. The Company monitors liquidity and contingency funding alternatives through management reports of liquid assets (e.g., debt securities), both unencumbered and pledged, as well as borrowing capacity, both secured and unsecured, including off-balance sheet funding sources. The Company evaluates its potential funding needs across alternative scenarios and maintains contingency funding plans consistent with the Company’s access to diversified sources of contingent funding.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certain liquidity sources and capacity available to the Company as of the dates indicated: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w:t>
            </w: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144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6"/>
                <w:szCs w:val="16"/>
                <w:color w:val="auto"/>
              </w:rPr>
            </w:pPr>
          </w:p>
        </w:tc>
        <w:tc>
          <w:tcPr>
            <w:tcW w:w="1640" w:type="dxa"/>
            <w:vAlign w:val="bottom"/>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advances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Borrowing capacity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5,134,006</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4,872,433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 utilized</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Letters of credit and other pledged collateral</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(17,784)</w:t>
            </w:r>
          </w:p>
        </w:tc>
        <w:tc>
          <w:tcPr>
            <w:tcW w:w="12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(10,224)</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78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 available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5,116,222</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4,422,209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FRB discount window</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7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Borrowing capacity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2,355,676</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2,048,309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Amount utilized</w:t>
            </w:r>
          </w:p>
        </w:tc>
        <w:tc>
          <w:tcPr>
            <w:tcW w:w="2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8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 available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2,355,676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2,048,309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Unsecured lines of credit available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Unencumbered debt securities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government and federal agency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90,783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sponsored enterprises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62,561</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766,120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929,248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160,623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631,010</w:t>
            </w:r>
          </w:p>
        </w:tc>
        <w:tc>
          <w:tcPr>
            <w:tcW w:w="12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20" w:type="dxa"/>
            <w:vAlign w:val="bottom"/>
            <w:gridSpan w:val="2"/>
          </w:tcPr>
          <w:p>
            <w:pPr>
              <w:ind w:left="660"/>
              <w:spacing w:after="0" w:line="237" w:lineRule="exact"/>
              <w:rPr>
                <w:sz w:val="20"/>
                <w:szCs w:val="20"/>
                <w:color w:val="auto"/>
              </w:rPr>
            </w:pPr>
            <w:r>
              <w:rPr>
                <w:rFonts w:ascii="Times New Roman" w:cs="Times New Roman" w:eastAsia="Times New Roman" w:hAnsi="Times New Roman"/>
                <w:sz w:val="18"/>
                <w:szCs w:val="18"/>
                <w:color w:val="auto"/>
              </w:rPr>
              <w:t xml:space="preserve">Total unencumbered debt securities </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1,652,469</w:t>
            </w:r>
          </w:p>
        </w:tc>
        <w:tc>
          <w:tcPr>
            <w:tcW w:w="12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ind w:right="340" w:firstLine="8"/>
        <w:spacing w:after="0" w:line="225" w:lineRule="auto"/>
        <w:tabs>
          <w:tab w:leader="none" w:pos="79"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unencumbered debt securities at September 30, 2026, included $911.8 million classified as AFS and $740.7 million classified as HTM. Total unencumbered debt securities at December 31, 2025, included $1.2 billion classified as AFS, and $828.1 million classified as HTM.</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Maintaining capital strength continues to be a long-term objective of the Company. Abundant capital is necessary to sustain growth, provide protection against unanticipated declines in asset values, and to safeguard the funds of depositors. Capital is also a source of funds for loan demand and enables the Company to effectively manage its assets and liabilities. The Company has the capacity to issue 234,000,000 shares of common stock of which 130,218,983 have been issued as of September 30, 2026. The Company also has the capacity to issue 1,000,000 shares of preferred stock of which none have been issued as of September 30, 2026. Conversely, the Company may decide to utilize a portion of its strong capital position, as it has done in the past, to repurchase shares of its outstanding common stock, depending on market price and other relevant considerations.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Federal Reserve has adopted capital adequacy guidelines that are used to assess the adequacy of capital in supervising a bank holding company. The federal banking agencies issued final rules (“Final Rules”) that established a comprehensive regulatory capital framework based on the recommendation of the Basel Committee on Banking Supervision and certain requirements of the Dodd-Frank Wall Street Reform and Consumer Protection Act. The Final Rules require the Company to hold a 2.5 percent capital conservation buffer designed to absorb losses during periods of economic stress. As of September 30, 2026, management believes the Company and Bank meet all capital adequacy requirements to which they are subject and there are no conditions or events subsequent to this date that management believes have changed the Company’s or Bank’s risk-based capital category.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the Bank’s regulatory capital ratios and the Federal Reserve’s capital adequacy guidelines as of September 30, 2026:</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Total Capital (To</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Tier 1 Capital (To</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 Equity Tier</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Leverage Ratio/</w:t>
            </w:r>
          </w:p>
        </w:tc>
      </w:tr>
      <w:tr>
        <w:trPr>
          <w:trHeight w:val="184"/>
        </w:trPr>
        <w:tc>
          <w:tcPr>
            <w:tcW w:w="4440" w:type="dxa"/>
            <w:vAlign w:val="bottom"/>
          </w:tcPr>
          <w:p>
            <w:pPr>
              <w:spacing w:after="0"/>
              <w:rPr>
                <w:sz w:val="16"/>
                <w:szCs w:val="16"/>
                <w:color w:val="auto"/>
              </w:rPr>
            </w:pPr>
          </w:p>
        </w:tc>
        <w:tc>
          <w:tcPr>
            <w:tcW w:w="17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Risk-Weighted</w:t>
            </w:r>
          </w:p>
        </w:tc>
        <w:tc>
          <w:tcPr>
            <w:tcW w:w="172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Risk-Weighted</w:t>
            </w:r>
          </w:p>
        </w:tc>
        <w:tc>
          <w:tcPr>
            <w:tcW w:w="17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8"/>
              </w:rPr>
              <w:t>1 (To Risk-Weighted</w:t>
            </w:r>
          </w:p>
        </w:tc>
        <w:tc>
          <w:tcPr>
            <w:tcW w:w="16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Tier 1 Capital (To</w:t>
            </w:r>
          </w:p>
        </w:tc>
      </w:tr>
      <w:tr>
        <w:trPr>
          <w:trHeight w:val="234"/>
        </w:trPr>
        <w:tc>
          <w:tcPr>
            <w:tcW w:w="4440" w:type="dxa"/>
            <w:vAlign w:val="bottom"/>
          </w:tcPr>
          <w:p>
            <w:pPr>
              <w:spacing w:after="0"/>
              <w:rPr>
                <w:sz w:val="20"/>
                <w:szCs w:val="20"/>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Assets)</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Assets)</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Assets)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Average Assets)</w:t>
            </w:r>
          </w:p>
        </w:tc>
      </w:tr>
      <w:tr>
        <w:trPr>
          <w:trHeight w:val="236"/>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Glacier Bank regulatory ratios</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14.26 %</w:t>
            </w:r>
          </w:p>
        </w:tc>
        <w:tc>
          <w:tcPr>
            <w:tcW w:w="100" w:type="dxa"/>
            <w:vAlign w:val="bottom"/>
            <w:tcBorders>
              <w:top w:val="single" w:sz="8" w:color="CCEEFF"/>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13.05 %</w:t>
            </w:r>
          </w:p>
        </w:tc>
        <w:tc>
          <w:tcPr>
            <w:tcW w:w="10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13.05 %</w:t>
            </w:r>
          </w:p>
        </w:tc>
        <w:tc>
          <w:tcPr>
            <w:tcW w:w="12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10.21 %</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capital requirements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189"/>
        </w:trPr>
        <w:tc>
          <w:tcPr>
            <w:tcW w:w="44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Minimum capital requirements plus capital conservation</w:t>
            </w: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43"/>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buffer</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10.50 %</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Well capitalized requirements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files a consolidated federal income tax return using the accrual method of accounting. All required tax returns have been timely filed.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institutions are subject to the provisions of the Internal Revenue Code of 1986, as amended, in the same general manner as other corporations.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federal statutory corporate income tax rate is 21 percent.</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Within the Company’s geographic footprint under Montana, Idaho, Utah, Colorado and Arizona law, financial institutions are subject to a corporation income tax, which incorporates or is substantially similar to applicable provisions of the Internal Revenue Code. The corporation income tax is imposed on federal taxable income, subject to certain adjustments. State taxes are incurred at the rate of 6.75 percent in Montana, 5.30 percent in Idaho, 4.45 percent in Utah, 4.40 percent in Colorado and 4.90 percent in Arizona. Washington, Wyoming, Nevada, and Texas do not impose a corporate income tax. The Company is also required to file in states other than the nine states in which it has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information relevant to the Company’s federal and state income taxes:</w:t>
            </w: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3"/>
          </w:tcPr>
          <w:p>
            <w:pPr>
              <w:jc w:val="right"/>
              <w:ind w:right="103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760" w:type="dxa"/>
            <w:vAlign w:val="bottom"/>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6"/>
                <w:szCs w:val="16"/>
                <w:color w:val="auto"/>
              </w:rPr>
            </w:pPr>
          </w:p>
        </w:tc>
        <w:tc>
          <w:tcPr>
            <w:tcW w:w="1520" w:type="dxa"/>
            <w:vAlign w:val="bottom"/>
          </w:tcPr>
          <w:p>
            <w:pPr>
              <w:jc w:val="right"/>
              <w:ind w:right="61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6"/>
                <w:szCs w:val="16"/>
                <w:color w:val="auto"/>
              </w:rPr>
            </w:pPr>
          </w:p>
        </w:tc>
        <w:tc>
          <w:tcPr>
            <w:tcW w:w="1760" w:type="dxa"/>
            <w:vAlign w:val="bottom"/>
          </w:tcPr>
          <w:p>
            <w:pPr>
              <w:jc w:val="right"/>
              <w:ind w:right="61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357,484</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213,955</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5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Federal and state income tax expense</w:t>
            </w: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72,916</w:t>
            </w:r>
          </w:p>
        </w:tc>
        <w:tc>
          <w:tcPr>
            <w:tcW w:w="12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38,706</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7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284,568</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175,249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580" w:type="dxa"/>
            <w:vAlign w:val="bottom"/>
            <w:tcBorders>
              <w:top w:val="single" w:sz="8" w:color="CCEEFF"/>
              <w:bottom w:val="single" w:sz="8" w:color="CCEEFF"/>
            </w:tcBorders>
            <w:gridSpan w:val="2"/>
            <w:vMerge w:val="restart"/>
          </w:tcPr>
          <w:p>
            <w:pPr>
              <w:spacing w:after="0" w:line="257" w:lineRule="exact"/>
              <w:rPr>
                <w:sz w:val="20"/>
                <w:szCs w:val="20"/>
                <w:color w:val="auto"/>
              </w:rPr>
            </w:pPr>
            <w:r>
              <w:rPr>
                <w:rFonts w:ascii="Times New Roman" w:cs="Times New Roman" w:eastAsia="Times New Roman" w:hAnsi="Times New Roman"/>
                <w:sz w:val="18"/>
                <w:szCs w:val="18"/>
                <w:color w:val="auto"/>
              </w:rPr>
              <w:t xml:space="preserve">Effective tax rate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tax-exempt debt securities, municipal loans and leases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62,240</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63,053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Benefits from federal income tax credits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28,058</w:t>
            </w:r>
          </w:p>
        </w:tc>
        <w:tc>
          <w:tcPr>
            <w:tcW w:w="120" w:type="dxa"/>
            <w:vAlign w:val="bottom"/>
          </w:tcPr>
          <w:p>
            <w:pPr>
              <w:spacing w:after="0"/>
              <w:rPr>
                <w:sz w:val="21"/>
                <w:szCs w:val="21"/>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23,576</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68" w:lineRule="exact"/>
        <w:rPr>
          <w:sz w:val="20"/>
          <w:szCs w:val="20"/>
          <w:color w:val="auto"/>
        </w:rPr>
      </w:pPr>
    </w:p>
    <w:p>
      <w:pPr>
        <w:ind w:left="80" w:right="20" w:hanging="72"/>
        <w:spacing w:after="0" w:line="225" w:lineRule="auto"/>
        <w:tabs>
          <w:tab w:leader="none" w:pos="79"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current and prior year’s low effective income tax rates are due to income from tax-exempt debt securities, municipal loans and leases and benefits from federal income tax credits.</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expense of $72.9 million for the first nine months of 2026 increased $34.2 million, or 88 percent, over the same period in the prior year. The effective tax rate for the first nine months of 2026 was 20.4 percent compared to 18.1 percent for the same period in the prior year. The increases in tax expense and the effective tax rate were primarily the result of an increase in the pre-tax income.</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equity investments in CDEs which have received allocations of NMTCs. Administered by the CDFI Fund of the U.S. Department of the Treasury, the NMTC program is aimed at stimulating economic and community development and job creation in low-income communities. The federal income tax credits received are claimed over a seven-year credit allowance period. The Company also has equity investments in LIHTC which are indirect federal subsidies used to finance the development of affordable rental housing for low-income households. The federal income tax credits are claimed over a ten-year credit allowance period. As of September 30, 2026, the Company has investments of $1.4 million in Qualified School Construction bonds whereby the Company receives quarterly federal income tax credits in lieu of taxable interest income. The federal income tax credits on these debt securities are subject to federal and state income tax. The Company has investments in historic tax credits that are claimed over a five-year credit allowance period.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list of expected federal income tax credits to be received in the years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New</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Low-Income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Debt</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340"/>
              <w:spacing w:after="0" w:line="181" w:lineRule="exact"/>
              <w:rPr>
                <w:sz w:val="20"/>
                <w:szCs w:val="20"/>
                <w:color w:val="auto"/>
              </w:rPr>
            </w:pPr>
            <w:r>
              <w:rPr>
                <w:rFonts w:ascii="Times New Roman" w:cs="Times New Roman" w:eastAsia="Times New Roman" w:hAnsi="Times New Roman"/>
                <w:sz w:val="18"/>
                <w:szCs w:val="18"/>
                <w:color w:val="auto"/>
                <w:w w:val="98"/>
              </w:rPr>
              <w:t>Markets</w:t>
            </w:r>
          </w:p>
        </w:tc>
        <w:tc>
          <w:tcPr>
            <w:tcW w:w="16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Housing</w:t>
            </w:r>
          </w:p>
        </w:tc>
        <w:tc>
          <w:tcPr>
            <w:tcW w:w="164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rPr>
              <w:t>Securities</w:t>
            </w: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Historic Tax Credits</w:t>
            </w:r>
          </w:p>
        </w:tc>
        <w:tc>
          <w:tcPr>
            <w:tcW w:w="15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5"/>
                <w:szCs w:val="15"/>
                <w:color w:val="auto"/>
              </w:rPr>
            </w:pPr>
          </w:p>
        </w:tc>
        <w:tc>
          <w:tcPr>
            <w:tcW w:w="1400" w:type="dxa"/>
            <w:vAlign w:val="bottom"/>
            <w:gridSpan w:val="2"/>
          </w:tcPr>
          <w:p>
            <w:pPr>
              <w:jc w:val="center"/>
              <w:ind w:right="340"/>
              <w:spacing w:after="0" w:line="156" w:lineRule="exact"/>
              <w:rPr>
                <w:sz w:val="20"/>
                <w:szCs w:val="20"/>
                <w:color w:val="auto"/>
              </w:rPr>
            </w:pPr>
            <w:r>
              <w:rPr>
                <w:rFonts w:ascii="Times New Roman" w:cs="Times New Roman" w:eastAsia="Times New Roman" w:hAnsi="Times New Roman"/>
                <w:sz w:val="18"/>
                <w:szCs w:val="18"/>
                <w:color w:val="auto"/>
                <w:w w:val="96"/>
              </w:rPr>
              <w:t>Tax Credits</w:t>
            </w:r>
          </w:p>
        </w:tc>
        <w:tc>
          <w:tcPr>
            <w:tcW w:w="162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8"/>
                <w:szCs w:val="18"/>
                <w:color w:val="auto"/>
                <w:w w:val="99"/>
              </w:rPr>
              <w:t>Tax Credits</w:t>
            </w:r>
          </w:p>
        </w:tc>
        <w:tc>
          <w:tcPr>
            <w:tcW w:w="164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8"/>
                <w:szCs w:val="18"/>
                <w:color w:val="auto"/>
                <w:w w:val="99"/>
              </w:rPr>
              <w:t>Tax Credits</w:t>
            </w:r>
          </w:p>
        </w:tc>
        <w:tc>
          <w:tcPr>
            <w:tcW w:w="1620" w:type="dxa"/>
            <w:vAlign w:val="bottom"/>
            <w:gridSpan w:val="2"/>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9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31,640</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38,274</w:t>
            </w:r>
          </w:p>
        </w:tc>
        <w:tc>
          <w:tcPr>
            <w:tcW w:w="0" w:type="dxa"/>
            <w:vAlign w:val="bottom"/>
          </w:tcPr>
          <w:p>
            <w:pPr>
              <w:spacing w:after="0"/>
              <w:rPr>
                <w:sz w:val="1"/>
                <w:szCs w:val="1"/>
                <w:color w:val="auto"/>
              </w:rPr>
            </w:pPr>
          </w:p>
        </w:tc>
      </w:tr>
      <w:tr>
        <w:trPr>
          <w:trHeight w:val="24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41,536</w:t>
            </w:r>
          </w:p>
        </w:tc>
        <w:tc>
          <w:tcPr>
            <w:tcW w:w="0" w:type="dxa"/>
            <w:vAlign w:val="bottom"/>
          </w:tcPr>
          <w:p>
            <w:pPr>
              <w:spacing w:after="0"/>
              <w:rPr>
                <w:sz w:val="1"/>
                <w:szCs w:val="1"/>
                <w:color w:val="auto"/>
              </w:rPr>
            </w:pPr>
          </w:p>
        </w:tc>
      </w:tr>
      <w:tr>
        <w:trPr>
          <w:trHeight w:val="243"/>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33,307</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37,539</w:t>
            </w:r>
          </w:p>
        </w:tc>
        <w:tc>
          <w:tcPr>
            <w:tcW w:w="0" w:type="dxa"/>
            <w:vAlign w:val="bottom"/>
          </w:tcPr>
          <w:p>
            <w:pPr>
              <w:spacing w:after="0"/>
              <w:rPr>
                <w:sz w:val="1"/>
                <w:szCs w:val="1"/>
                <w:color w:val="auto"/>
              </w:rPr>
            </w:pPr>
          </w:p>
        </w:tc>
      </w:tr>
      <w:tr>
        <w:trPr>
          <w:trHeight w:val="24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34,786</w:t>
            </w:r>
          </w:p>
        </w:tc>
        <w:tc>
          <w:tcPr>
            <w:tcW w:w="0" w:type="dxa"/>
            <w:vAlign w:val="bottom"/>
          </w:tcPr>
          <w:p>
            <w:pPr>
              <w:spacing w:after="0"/>
              <w:rPr>
                <w:sz w:val="1"/>
                <w:szCs w:val="1"/>
                <w:color w:val="auto"/>
              </w:rPr>
            </w:pPr>
          </w:p>
        </w:tc>
      </w:tr>
      <w:tr>
        <w:trPr>
          <w:trHeight w:val="243"/>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30,483</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111,102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113,168</w:t>
            </w:r>
          </w:p>
        </w:tc>
        <w:tc>
          <w:tcPr>
            <w:tcW w:w="0" w:type="dxa"/>
            <w:vAlign w:val="bottom"/>
          </w:tcPr>
          <w:p>
            <w:pPr>
              <w:spacing w:after="0"/>
              <w:rPr>
                <w:sz w:val="1"/>
                <w:szCs w:val="1"/>
                <w:color w:val="auto"/>
              </w:rPr>
            </w:pPr>
          </w:p>
        </w:tc>
      </w:tr>
      <w:tr>
        <w:trPr>
          <w:trHeight w:val="262"/>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CCEEFF"/>
              <w:bottom w:val="single" w:sz="8" w:color="CCEEFF"/>
            </w:tcBorders>
            <w:shd w:val="clear" w:color="auto" w:fill="CCEEFF"/>
          </w:tcPr>
          <w:p>
            <w:pPr>
              <w:spacing w:after="0"/>
              <w:rPr>
                <w:sz w:val="22"/>
                <w:szCs w:val="22"/>
                <w:color w:val="auto"/>
              </w:rPr>
            </w:pPr>
          </w:p>
        </w:tc>
        <w:tc>
          <w:tcPr>
            <w:tcW w:w="19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Average Balance Sheet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schedule provides 1) the total dollar amount of interest and dividend income of the Company for earning assets and the average yields; 2) the total dollar amount of interest expense on interest bearing liabilities and the average rates; 3) net interest and dividend income and interest rate spread; and 4) net interest margin (tax-equivalent).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Average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Interest and</w:t>
            </w:r>
          </w:p>
        </w:tc>
        <w:tc>
          <w:tcPr>
            <w:tcW w:w="126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5"/>
                <w:szCs w:val="15"/>
                <w:color w:val="auto"/>
              </w:rPr>
            </w:pPr>
          </w:p>
        </w:tc>
        <w:tc>
          <w:tcPr>
            <w:tcW w:w="9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Average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Interest and</w:t>
            </w:r>
          </w:p>
        </w:tc>
        <w:tc>
          <w:tcPr>
            <w:tcW w:w="11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Yield/</w:t>
            </w: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Yield/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96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Dividends</w:t>
            </w:r>
          </w:p>
        </w:tc>
        <w:tc>
          <w:tcPr>
            <w:tcW w:w="126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6"/>
              </w:rPr>
              <w:t>Rate</w:t>
            </w:r>
          </w:p>
        </w:tc>
        <w:tc>
          <w:tcPr>
            <w:tcW w:w="220" w:type="dxa"/>
            <w:vAlign w:val="bottom"/>
          </w:tcPr>
          <w:p>
            <w:pPr>
              <w:spacing w:after="0"/>
              <w:rPr>
                <w:sz w:val="16"/>
                <w:szCs w:val="16"/>
                <w:color w:val="auto"/>
              </w:rPr>
            </w:pPr>
          </w:p>
        </w:tc>
        <w:tc>
          <w:tcPr>
            <w:tcW w:w="96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Dividends</w:t>
            </w:r>
          </w:p>
        </w:tc>
        <w:tc>
          <w:tcPr>
            <w:tcW w:w="11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Rate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Residential real estate loans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2,118,156</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2,216,004</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93,467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60" w:type="dxa"/>
            <w:vAlign w:val="bottom"/>
            <w:gridSpan w:val="2"/>
            <w:shd w:val="clear" w:color="auto" w:fill="CCEEFF"/>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Commercial loans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17,879,132</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280,597</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17,551,741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808,589</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34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Consumer and other loans</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1,476,570</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26,361</w:t>
            </w: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7.08 %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1,460,770</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77,351</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7.08 %</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460" w:type="dxa"/>
            <w:vAlign w:val="bottom"/>
            <w:gridSpan w:val="2"/>
            <w:shd w:val="clear" w:color="auto" w:fill="CCEEFF"/>
          </w:tcPr>
          <w:p>
            <w:pPr>
              <w:ind w:left="540"/>
              <w:spacing w:after="0" w:line="236" w:lineRule="exact"/>
              <w:rPr>
                <w:sz w:val="20"/>
                <w:szCs w:val="20"/>
                <w:color w:val="auto"/>
              </w:rPr>
            </w:pPr>
            <w:r>
              <w:rPr>
                <w:rFonts w:ascii="Times New Roman" w:cs="Times New Roman" w:eastAsia="Times New Roman" w:hAnsi="Times New Roman"/>
                <w:sz w:val="18"/>
                <w:szCs w:val="18"/>
                <w:color w:val="auto"/>
              </w:rPr>
              <w:t xml:space="preserve">Total loans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21,473,858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336,613</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21,228,515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979,407</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Tax-exempt investment securities </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1,604,570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14,127</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1,625,399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42,825</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60" w:type="dxa"/>
            <w:vAlign w:val="bottom"/>
            <w:gridSpan w:val="2"/>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Taxable investment securities </w:t>
            </w:r>
            <w:r>
              <w:rPr>
                <w:rFonts w:ascii="Times New Roman" w:cs="Times New Roman" w:eastAsia="Times New Roman" w:hAnsi="Times New Roman"/>
                <w:sz w:val="23"/>
                <w:szCs w:val="23"/>
                <w:color w:val="auto"/>
                <w:vertAlign w:val="superscript"/>
              </w:rPr>
              <w:t>4, 5</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5,991,490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32,828</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6,126,696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96,187</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346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color w:val="auto"/>
              </w:rPr>
              <w:t>Total earning assets</w:t>
            </w:r>
          </w:p>
        </w:tc>
        <w:tc>
          <w:tcPr>
            <w:tcW w:w="20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29,069,918</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383,568</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28,980,610</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1,118,419</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 and intangibles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1,471,485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1,476,286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34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Non-earning assets</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1,229,424</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1,211,434</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31,770,827</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31,668,330</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4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7,535,227</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7,355,903</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NOW and DDA accounts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6,135,597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16,128</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6,169,973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Savings accounts</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3,198,811</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3,177,733</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16,719</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Money market deposit accounts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4,150,413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21,397</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4,056,148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Certificate accounts</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3,720,634</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29,537</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3,807,656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91,512</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Total core deposits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24,740,682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72,830</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24,567,413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216,988</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Short-term borrowings</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gridSpan w:val="2"/>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Wholesale deposits </w:t>
            </w:r>
            <w:r>
              <w:rPr>
                <w:rFonts w:ascii="Times New Roman" w:cs="Times New Roman" w:eastAsia="Times New Roman" w:hAnsi="Times New Roman"/>
                <w:sz w:val="23"/>
                <w:szCs w:val="23"/>
                <w:color w:val="auto"/>
                <w:vertAlign w:val="superscript"/>
              </w:rPr>
              <w:t>6</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Repurchase agreements</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2,002,455</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2,023,595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40,428</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FHLB advances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119,286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shd w:val="clear" w:color="auto" w:fill="CCEEFF"/>
          </w:tcPr>
          <w:p>
            <w:pPr>
              <w:spacing w:after="0"/>
              <w:rPr>
                <w:sz w:val="20"/>
                <w:szCs w:val="20"/>
                <w:color w:val="auto"/>
              </w:rPr>
            </w:pPr>
          </w:p>
        </w:tc>
        <w:tc>
          <w:tcPr>
            <w:tcW w:w="3460" w:type="dxa"/>
            <w:vAlign w:val="bottom"/>
            <w:tcBorders>
              <w:top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short-term borrowings</w:t>
            </w:r>
          </w:p>
        </w:tc>
        <w:tc>
          <w:tcPr>
            <w:tcW w:w="2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2,005,679</w:t>
            </w:r>
          </w:p>
        </w:tc>
        <w:tc>
          <w:tcPr>
            <w:tcW w:w="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12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2,146,272</w:t>
            </w:r>
          </w:p>
        </w:tc>
        <w:tc>
          <w:tcPr>
            <w:tcW w:w="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44,750</w:t>
            </w:r>
          </w:p>
        </w:tc>
        <w:tc>
          <w:tcPr>
            <w:tcW w:w="10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460" w:type="dxa"/>
            <w:vAlign w:val="bottom"/>
            <w:gridSpan w:val="2"/>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Subordinated debentures and other</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borrowed funds</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272,160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270,417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346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27,018,521</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90,084</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26,984,102</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272,536</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399,951</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379,197</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346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27,418,472</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27,363,299</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34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4,352,355</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4,305,031</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31,770,827</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31,668,330</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interest income (tax-equivalent)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293,484</w:t>
            </w: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845,883</w:t>
            </w: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4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spread (tax-equivalent)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margin (tax-equivalent)</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Average Balance Sheet -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80" w:hanging="72"/>
        <w:spacing w:after="0" w:line="200" w:lineRule="auto"/>
        <w:tabs>
          <w:tab w:leader="none" w:pos="8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tax effect of $1.6 million and $4.9 million on tax-exempt municipal loan and lease income for the three and nine months ended September 30, 2026, respectively.</w:t>
      </w:r>
    </w:p>
    <w:p>
      <w:pPr>
        <w:ind w:left="80" w:hanging="81"/>
        <w:spacing w:after="0" w:line="220"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Total loans are gross of the allowance for credit losses, net of unearned income and include loans held for sale. Non-accrual loans were included in the average volume for the entire period.</w:t>
      </w:r>
    </w:p>
    <w:p>
      <w:pPr>
        <w:spacing w:after="0" w:line="1" w:lineRule="exact"/>
        <w:rPr>
          <w:rFonts w:ascii="Times New Roman" w:cs="Times New Roman" w:eastAsia="Times New Roman" w:hAnsi="Times New Roman"/>
          <w:sz w:val="21"/>
          <w:szCs w:val="21"/>
          <w:color w:val="auto"/>
          <w:vertAlign w:val="superscript"/>
        </w:rPr>
      </w:pPr>
    </w:p>
    <w:p>
      <w:pPr>
        <w:spacing w:after="0" w:line="214"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Includes tax effect of $1.9 million and $5.8 million on tax-exempt debt securities income for the three and nine months ended September 30, 2026, respectively.</w:t>
      </w:r>
    </w:p>
    <w:p>
      <w:pPr>
        <w:ind w:left="80" w:hanging="81"/>
        <w:spacing w:after="0" w:line="220"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 xml:space="preserve"> Includes interest income of $7.2 million and $22.4 million on average interest-bearing cash balances of $765.3 million and $810.1 million for the three and </w:t>
      </w:r>
      <w:r>
        <w:rPr>
          <w:rFonts w:ascii="Times New Roman" w:cs="Times New Roman" w:eastAsia="Times New Roman" w:hAnsi="Times New Roman"/>
          <w:sz w:val="17"/>
          <w:szCs w:val="17"/>
          <w:color w:val="auto"/>
        </w:rPr>
        <w:t>nine</w:t>
      </w:r>
      <w:r>
        <w:rPr>
          <w:rFonts w:ascii="Times New Roman" w:cs="Times New Roman" w:eastAsia="Times New Roman" w:hAnsi="Times New Roman"/>
          <w:sz w:val="16"/>
          <w:szCs w:val="16"/>
          <w:color w:val="auto"/>
        </w:rPr>
        <w:t xml:space="preserve"> months ended September 30, 2026, respectively.</w:t>
      </w:r>
    </w:p>
    <w:p>
      <w:pPr>
        <w:spacing w:after="0" w:line="1" w:lineRule="exact"/>
        <w:rPr>
          <w:rFonts w:ascii="Times New Roman" w:cs="Times New Roman" w:eastAsia="Times New Roman" w:hAnsi="Times New Roman"/>
          <w:sz w:val="21"/>
          <w:szCs w:val="21"/>
          <w:color w:val="auto"/>
          <w:vertAlign w:val="superscript"/>
        </w:rPr>
      </w:pPr>
    </w:p>
    <w:p>
      <w:pPr>
        <w:ind w:right="1080"/>
        <w:spacing w:after="0" w:line="224"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6"/>
          <w:szCs w:val="16"/>
          <w:color w:val="auto"/>
        </w:rPr>
        <w:t xml:space="preserve"> Includes tax effect of $69 thousand and $205 thousand on federal income tax credits for the three and nine months ended September 30, 2026, respectively. </w:t>
      </w: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6"/>
          <w:szCs w:val="16"/>
          <w:color w:val="auto"/>
        </w:rPr>
        <w:t xml:space="preserve"> Wholesale deposits include brokered deposits classified as NOW, DDA, money market deposit and certificate accounts with contractual maturities.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Rate/Volume Analysis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interest income can be evaluated from the perspective of relative dollars of change in each period. Interest income and interest expense, which are the components of net interest income, are shown in the following table on the basis of the amount of any increases (or decreases) attributable to changes in the dollar levels of the Company’s interest earning assets and interest bearing liabilities (“volume”) and the yields earned and paid on such assets and liabilities (“rate”). The change in interest income and interest expense attributable to changes in both volume and rates has been allocated proportionately to the change due to volume and the change due to rate.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80" w:type="dxa"/>
            <w:vAlign w:val="bottom"/>
            <w:gridSpan w:val="5"/>
          </w:tcPr>
          <w:p>
            <w:pPr>
              <w:jc w:val="center"/>
              <w:ind w:left="530"/>
              <w:spacing w:after="0"/>
              <w:rPr>
                <w:sz w:val="20"/>
                <w:szCs w:val="20"/>
                <w:color w:val="auto"/>
              </w:rPr>
            </w:pPr>
            <w:r>
              <w:rPr>
                <w:rFonts w:ascii="Times New Roman" w:cs="Times New Roman" w:eastAsia="Times New Roman" w:hAnsi="Times New Roman"/>
                <w:sz w:val="18"/>
                <w:szCs w:val="18"/>
                <w:color w:val="auto"/>
              </w:rPr>
              <w:t>Nine Months ended September 30, 2026</w:t>
            </w:r>
          </w:p>
        </w:tc>
        <w:tc>
          <w:tcPr>
            <w:tcW w:w="9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rPr>
              <w:t>2026 vs. 2025</w:t>
            </w:r>
          </w:p>
        </w:tc>
        <w:tc>
          <w:tcPr>
            <w:tcW w:w="9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5"/>
          </w:tcPr>
          <w:p>
            <w:pPr>
              <w:jc w:val="center"/>
              <w:ind w:left="530"/>
              <w:spacing w:after="0"/>
              <w:rPr>
                <w:sz w:val="20"/>
                <w:szCs w:val="20"/>
                <w:color w:val="auto"/>
              </w:rPr>
            </w:pPr>
            <w:r>
              <w:rPr>
                <w:rFonts w:ascii="Times New Roman" w:cs="Times New Roman" w:eastAsia="Times New Roman" w:hAnsi="Times New Roman"/>
                <w:sz w:val="18"/>
                <w:szCs w:val="18"/>
                <w:color w:val="auto"/>
                <w:w w:val="99"/>
              </w:rPr>
              <w:t>Increase (Decrease) Due to:</w:t>
            </w:r>
          </w:p>
        </w:tc>
        <w:tc>
          <w:tcPr>
            <w:tcW w:w="920" w:type="dxa"/>
            <w:vAlign w:val="bottom"/>
            <w:tcBorders>
              <w:bottom w:val="single" w:sz="8" w:color="auto"/>
            </w:tcBorders>
          </w:tcPr>
          <w:p>
            <w:pPr>
              <w:spacing w:after="0"/>
              <w:rPr>
                <w:sz w:val="21"/>
                <w:szCs w:val="21"/>
                <w:color w:val="auto"/>
              </w:rPr>
            </w:pPr>
          </w:p>
        </w:tc>
      </w:tr>
      <w:tr>
        <w:trPr>
          <w:trHeight w:val="183"/>
        </w:trPr>
        <w:tc>
          <w:tcPr>
            <w:tcW w:w="20" w:type="dxa"/>
            <w:vAlign w:val="bottom"/>
          </w:tcPr>
          <w:p>
            <w:pPr>
              <w:spacing w:after="0"/>
              <w:rPr>
                <w:sz w:val="15"/>
                <w:szCs w:val="15"/>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Pr>
          <w:p>
            <w:pPr>
              <w:spacing w:after="0"/>
              <w:rPr>
                <w:sz w:val="15"/>
                <w:szCs w:val="15"/>
                <w:color w:val="auto"/>
              </w:rPr>
            </w:pPr>
          </w:p>
        </w:tc>
        <w:tc>
          <w:tcPr>
            <w:tcW w:w="1340" w:type="dxa"/>
            <w:vAlign w:val="bottom"/>
            <w:gridSpan w:val="2"/>
          </w:tcPr>
          <w:p>
            <w:pPr>
              <w:ind w:left="200"/>
              <w:spacing w:after="0" w:line="169" w:lineRule="exact"/>
              <w:rPr>
                <w:sz w:val="20"/>
                <w:szCs w:val="20"/>
                <w:color w:val="auto"/>
              </w:rPr>
            </w:pPr>
            <w:r>
              <w:rPr>
                <w:rFonts w:ascii="Times New Roman" w:cs="Times New Roman" w:eastAsia="Times New Roman" w:hAnsi="Times New Roman"/>
                <w:sz w:val="18"/>
                <w:szCs w:val="18"/>
                <w:color w:val="auto"/>
              </w:rPr>
              <w:t>Volume</w:t>
            </w:r>
          </w:p>
        </w:tc>
        <w:tc>
          <w:tcPr>
            <w:tcW w:w="2240" w:type="dxa"/>
            <w:vAlign w:val="bottom"/>
            <w:gridSpan w:val="3"/>
          </w:tcPr>
          <w:p>
            <w:pPr>
              <w:jc w:val="center"/>
              <w:ind w:right="720"/>
              <w:spacing w:after="0" w:line="169" w:lineRule="exact"/>
              <w:rPr>
                <w:sz w:val="20"/>
                <w:szCs w:val="20"/>
                <w:color w:val="auto"/>
              </w:rPr>
            </w:pPr>
            <w:r>
              <w:rPr>
                <w:rFonts w:ascii="Times New Roman" w:cs="Times New Roman" w:eastAsia="Times New Roman" w:hAnsi="Times New Roman"/>
                <w:sz w:val="18"/>
                <w:szCs w:val="18"/>
                <w:color w:val="auto"/>
                <w:w w:val="96"/>
              </w:rPr>
              <w:t>Rate</w:t>
            </w:r>
          </w:p>
        </w:tc>
        <w:tc>
          <w:tcPr>
            <w:tcW w:w="920" w:type="dxa"/>
            <w:vAlign w:val="bottom"/>
          </w:tcPr>
          <w:p>
            <w:pPr>
              <w:jc w:val="right"/>
              <w:ind w:right="550"/>
              <w:spacing w:after="0" w:line="169" w:lineRule="exact"/>
              <w:rPr>
                <w:sz w:val="20"/>
                <w:szCs w:val="20"/>
                <w:color w:val="auto"/>
              </w:rPr>
            </w:pPr>
            <w:r>
              <w:rPr>
                <w:rFonts w:ascii="Times New Roman" w:cs="Times New Roman" w:eastAsia="Times New Roman" w:hAnsi="Times New Roman"/>
                <w:sz w:val="18"/>
                <w:szCs w:val="18"/>
                <w:color w:val="auto"/>
                <w:w w:val="99"/>
              </w:rPr>
              <w:t>Net</w:t>
            </w:r>
          </w:p>
        </w:tc>
      </w:tr>
      <w:tr>
        <w:trPr>
          <w:trHeight w:val="34"/>
        </w:trPr>
        <w:tc>
          <w:tcPr>
            <w:tcW w:w="2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Residential real estate loans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17,496</w:t>
            </w:r>
          </w:p>
        </w:tc>
      </w:tr>
      <w:tr>
        <w:trPr>
          <w:trHeight w:val="243"/>
        </w:trPr>
        <w:tc>
          <w:tcPr>
            <w:tcW w:w="20" w:type="dxa"/>
            <w:vAlign w:val="bottom"/>
            <w:shd w:val="clear" w:color="auto" w:fill="CCEEFF"/>
          </w:tcPr>
          <w:p>
            <w:pPr>
              <w:spacing w:after="0"/>
              <w:rPr>
                <w:sz w:val="21"/>
                <w:szCs w:val="21"/>
                <w:color w:val="auto"/>
              </w:rPr>
            </w:pPr>
          </w:p>
        </w:tc>
        <w:tc>
          <w:tcPr>
            <w:tcW w:w="6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loans (tax-equivalent)</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120,978</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42,390</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163,368</w:t>
            </w:r>
          </w:p>
        </w:tc>
      </w:tr>
      <w:tr>
        <w:trPr>
          <w:trHeight w:val="243"/>
        </w:trPr>
        <w:tc>
          <w:tcPr>
            <w:tcW w:w="20" w:type="dxa"/>
            <w:vAlign w:val="bottom"/>
          </w:tcPr>
          <w:p>
            <w:pPr>
              <w:spacing w:after="0"/>
              <w:rPr>
                <w:sz w:val="21"/>
                <w:szCs w:val="21"/>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Consumer and other loans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w:t>
            </w:r>
          </w:p>
        </w:tc>
      </w:tr>
      <w:tr>
        <w:trPr>
          <w:trHeight w:val="243"/>
        </w:trPr>
        <w:tc>
          <w:tcPr>
            <w:tcW w:w="20" w:type="dxa"/>
            <w:vAlign w:val="bottom"/>
            <w:shd w:val="clear" w:color="auto" w:fill="CCEEFF"/>
          </w:tcPr>
          <w:p>
            <w:pPr>
              <w:spacing w:after="0"/>
              <w:rPr>
                <w:sz w:val="21"/>
                <w:szCs w:val="21"/>
                <w:color w:val="auto"/>
              </w:rPr>
            </w:pPr>
          </w:p>
        </w:tc>
        <w:tc>
          <w:tcPr>
            <w:tcW w:w="6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securities (tax-equivalent)</w:t>
            </w: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w:t>
            </w:r>
          </w:p>
        </w:tc>
        <w:tc>
          <w:tcPr>
            <w:tcW w:w="10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1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36"/>
        </w:trPr>
        <w:tc>
          <w:tcPr>
            <w:tcW w:w="20" w:type="dxa"/>
            <w:vAlign w:val="bottom"/>
          </w:tcPr>
          <w:p>
            <w:pPr>
              <w:spacing w:after="0"/>
              <w:rPr>
                <w:sz w:val="20"/>
                <w:szCs w:val="20"/>
                <w:color w:val="auto"/>
              </w:rPr>
            </w:pPr>
          </w:p>
        </w:tc>
        <w:tc>
          <w:tcPr>
            <w:tcW w:w="6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interest income</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129,567</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185,033</w:t>
            </w:r>
          </w:p>
        </w:tc>
      </w:tr>
      <w:tr>
        <w:trPr>
          <w:trHeight w:val="243"/>
        </w:trPr>
        <w:tc>
          <w:tcPr>
            <w:tcW w:w="20" w:type="dxa"/>
            <w:vAlign w:val="bottom"/>
            <w:shd w:val="clear" w:color="auto" w:fill="CCEEFF"/>
          </w:tcPr>
          <w:p>
            <w:pPr>
              <w:spacing w:after="0"/>
              <w:rPr>
                <w:sz w:val="21"/>
                <w:szCs w:val="21"/>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NOW and DDA accounts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43"/>
        </w:trPr>
        <w:tc>
          <w:tcPr>
            <w:tcW w:w="20" w:type="dxa"/>
            <w:vAlign w:val="bottom"/>
            <w:shd w:val="clear" w:color="auto" w:fill="CCEEFF"/>
          </w:tcPr>
          <w:p>
            <w:pPr>
              <w:spacing w:after="0"/>
              <w:rPr>
                <w:sz w:val="21"/>
                <w:szCs w:val="21"/>
                <w:color w:val="auto"/>
              </w:rPr>
            </w:pPr>
          </w:p>
        </w:tc>
        <w:tc>
          <w:tcPr>
            <w:tcW w:w="6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Savings accounts</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43"/>
        </w:trPr>
        <w:tc>
          <w:tcPr>
            <w:tcW w:w="20" w:type="dxa"/>
            <w:vAlign w:val="bottom"/>
          </w:tcPr>
          <w:p>
            <w:pPr>
              <w:spacing w:after="0"/>
              <w:rPr>
                <w:sz w:val="21"/>
                <w:szCs w:val="21"/>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Money market deposit accounts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14,931</w:t>
            </w:r>
          </w:p>
        </w:tc>
      </w:tr>
      <w:tr>
        <w:trPr>
          <w:trHeight w:val="243"/>
        </w:trPr>
        <w:tc>
          <w:tcPr>
            <w:tcW w:w="20" w:type="dxa"/>
            <w:vAlign w:val="bottom"/>
            <w:shd w:val="clear" w:color="auto" w:fill="CCEEFF"/>
          </w:tcPr>
          <w:p>
            <w:pPr>
              <w:spacing w:after="0"/>
              <w:rPr>
                <w:sz w:val="21"/>
                <w:szCs w:val="21"/>
                <w:color w:val="auto"/>
              </w:rPr>
            </w:pPr>
          </w:p>
        </w:tc>
        <w:tc>
          <w:tcPr>
            <w:tcW w:w="6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Certificate accounts</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16,516</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w:t>
            </w:r>
          </w:p>
        </w:tc>
      </w:tr>
      <w:tr>
        <w:trPr>
          <w:trHeight w:val="243"/>
        </w:trPr>
        <w:tc>
          <w:tcPr>
            <w:tcW w:w="20" w:type="dxa"/>
            <w:vAlign w:val="bottom"/>
          </w:tcPr>
          <w:p>
            <w:pPr>
              <w:spacing w:after="0"/>
              <w:rPr>
                <w:sz w:val="21"/>
                <w:szCs w:val="21"/>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Wholesale deposits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20" w:type="dxa"/>
            <w:vAlign w:val="bottom"/>
            <w:shd w:val="clear" w:color="auto" w:fill="CCEEFF"/>
          </w:tcPr>
          <w:p>
            <w:pPr>
              <w:spacing w:after="0"/>
              <w:rPr>
                <w:sz w:val="21"/>
                <w:szCs w:val="21"/>
                <w:color w:val="auto"/>
              </w:rPr>
            </w:pPr>
          </w:p>
        </w:tc>
        <w:tc>
          <w:tcPr>
            <w:tcW w:w="6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agreements</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r>
      <w:tr>
        <w:trPr>
          <w:trHeight w:val="243"/>
        </w:trPr>
        <w:tc>
          <w:tcPr>
            <w:tcW w:w="20" w:type="dxa"/>
            <w:vAlign w:val="bottom"/>
          </w:tcPr>
          <w:p>
            <w:pPr>
              <w:spacing w:after="0"/>
              <w:rPr>
                <w:sz w:val="21"/>
                <w:szCs w:val="21"/>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FHLB advances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(48,570)</w:t>
            </w:r>
          </w:p>
        </w:tc>
      </w:tr>
      <w:tr>
        <w:trPr>
          <w:trHeight w:val="243"/>
        </w:trPr>
        <w:tc>
          <w:tcPr>
            <w:tcW w:w="20" w:type="dxa"/>
            <w:vAlign w:val="bottom"/>
            <w:shd w:val="clear" w:color="auto" w:fill="CCEEFF"/>
          </w:tcPr>
          <w:p>
            <w:pPr>
              <w:spacing w:after="0"/>
              <w:rPr>
                <w:sz w:val="21"/>
                <w:szCs w:val="21"/>
                <w:color w:val="auto"/>
              </w:rPr>
            </w:pPr>
          </w:p>
        </w:tc>
        <w:tc>
          <w:tcPr>
            <w:tcW w:w="6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Subordinated debentures and other borrowed funds</w:t>
            </w: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36"/>
        </w:trPr>
        <w:tc>
          <w:tcPr>
            <w:tcW w:w="20" w:type="dxa"/>
            <w:vAlign w:val="bottom"/>
            <w:tcBorders>
              <w:bottom w:val="single" w:sz="8" w:color="CCEEFF"/>
            </w:tcBorders>
          </w:tcPr>
          <w:p>
            <w:pPr>
              <w:spacing w:after="0"/>
              <w:rPr>
                <w:sz w:val="20"/>
                <w:szCs w:val="20"/>
                <w:color w:val="auto"/>
              </w:rPr>
            </w:pPr>
          </w:p>
        </w:tc>
        <w:tc>
          <w:tcPr>
            <w:tcW w:w="638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interest expense</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(21,701)</w:t>
            </w:r>
          </w:p>
        </w:tc>
        <w:tc>
          <w:tcPr>
            <w:tcW w:w="1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(27,533)</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63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interest income (tax-equivalent)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135,399</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income (tax-equivalent) increased $212.6 million for the nine months ended September 30, 2026 compared to the same period in 2025. The interest income for the first nine months of the current year increased over the same period in the prior year, primarily from increased loan yields and loan growth. The decrease in interest expense for the first nine months of the current year compared to prior year was primarily the result of a decrease in higher cost borrowings and a decrease in deposit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Market risk is the risk of loss in a financial instrument arising from adverse changes in market rates/prices such as interest rates, foreign currency exchange rates, commodity prices, and equity prices. The Company’s primary market risk exposure is interest rate risk.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Risk</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Interest rate risk is the potential for loss of future earnings resulting from adverse changes in the level of interest rates. Interest rate risk results from many factors and could have a significant impact on the Company’s net interest income, which is the Company’s primary source of net income. Net interest income is affected by a myriad of variables, including changes in interest rates, the relationship between rates on interest bearing assets and liabilities, the impact of the interest fluctuations on asset prepayments and the mix of interest bearing assets and liabilities.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interest rate risk is inherent in the banking industry, banks are expected to have sound risk management practices in place to measure, monitor and control interest rate exposures. The objective of interest rate risk management is to appropriately manage the risks associated with interest rate fluctuations. The process includes identification and management of the sensitivity of net interest income to changing interest rates.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interest income simulation</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uses a detailed and dynamic simulation model to quantify the estimated exposure of net interest income (“NII”) to sustained interest rate changes. While ALCO routinely monitors simulated NII sensitivity over rolling two-year and five-year horizons, it also utilizes additional tools to monitor potential longer-term interest rate risk. The simulation model captures the impact of changing interest rates on the interest income received and interest expense paid on all assets and liabilities reflected on the Company’s unaudited condensed consolidated statements of financial condition. This sensitivity analysis is compared to ALCO policy limits which specify a maximum tolerance level for NII exposure over a one year and two year horizon, assuming no balance sheet growth. The ALCO policy rate scenarios include upward and downward shifts in interest rates for 100 bps and 200 bps scenarios with instantaneous and parallel changes in current market yield curves. The ALCO policy also includes 200 bps and 400 bps rate scenarios with gradual parallel shifts in interest rates over 12-month and 24-month periods, respectively. Other non-parallel rate movement scenarios are also modeled to determine the potential impact on net interest income. The additional scenarios are adjusted as the economic environment changes and provide ALCO additional interest rate risk monitoring tools to evaluate current market conditions. The following is indicative of the Company’s overall NII sensitivity analysis as of September 30, 2026.</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Estimated Sensitivity</w:t>
            </w:r>
          </w:p>
        </w:tc>
      </w:tr>
      <w:tr>
        <w:trPr>
          <w:trHeight w:val="237"/>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Rate Scenarios</w:t>
            </w:r>
          </w:p>
        </w:tc>
        <w:tc>
          <w:tcPr>
            <w:tcW w:w="1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One Year</w:t>
            </w:r>
          </w:p>
        </w:tc>
        <w:tc>
          <w:tcPr>
            <w:tcW w:w="1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Two Years</w:t>
            </w:r>
          </w:p>
        </w:tc>
      </w:tr>
      <w:tr>
        <w:trPr>
          <w:trHeight w:val="236"/>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bp Rate ramp</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4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 bp Rate ramp</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43"/>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bp Rate shock</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4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bp Rate shock</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43"/>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bp Rate shock</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4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 bp Rate shock</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43"/>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bp Rate ramp</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4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+400 bp Rate ramp</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bl>
    <w:p>
      <w:pPr>
        <w:spacing w:after="0" w:line="3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preceding sensitivity analysis does not represent a forecast and should not be relied upon as being indicative of expected operating results. It is important to note that these hypothetical estimates are based upon numerous assumptions that are specific to our Company and thus may not be directly comparable to other institutions. These assumptions include: the nature and timing of interest rate levels including, but not limited to, yield curve shape, prepayments on loans and securities, deposit decay rates, pricing decisions on loans and deposits and reinvestment/replacement of asset and liability cash flows. While assumptions are developed based upon current economic and local market conditions, the Company cannot make any assurances as to the predictive nature of these assumptions including how customer preferences or competitor influences might change. Also, as market conditions vary from those assumed in the sensitivity analysis, actual results will also differ due to prepayment/refinancing levels likely deviating from those assumed, the varying impact of interest rate caps or floors on adjustable rate assets, the potential effect of changing debt service levels on customers with adjustable rate loans, depositor early withdrawals and product preference changes, and other internal and external variables. Furthermore, the sensitivity analysis does not reflect actions that ALCO might take in responding to or anticipating changes in interest rates.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2"/>
          <w:szCs w:val="22"/>
          <w:b w:val="1"/>
          <w:bCs w:val="1"/>
          <w:color w:val="auto"/>
        </w:rPr>
        <w:t>Item 3. Quantitative and Qualitative Disclosure about Market Risk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“Market Risk” of this Management’s Discussion and Analysis of Financial Condition and Results of Operations in this Form 10-Q.</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CEO and Chief Financial Officer (“CFO”) have reviewed and evaluated the effectiveness of the Company’s disclosure controls and procedures (as required by Exchange Act Rules 240.13a-15(b) and 15d-14(c)) as of September 30, 2026. Based on that evaluation, the CEO and CFO have concluded that the Company’s current disclosure controls and procedures are effective and timely, providing them with material information relating to the Company required to be disclosed in the reports the Company files or submits under the Exchange 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Rules 13a-15(f) and 15d-15(f) under the Exchange Act) during the third quarter of 2026, to which this report relates that have materially affected, or are reasonably likely to materially affect the Company’s internal control over financial reporting.</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claims, legal actions and complaints which arise in the ordinary course of business. In the Company’s opinion, all such matters are adequately covered by insurance, are without merit or are of such kind, or involve such amounts, that unfavorable disposition would not have a material adverse effect on the financial condition or results of operations of the Company.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2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believes there have been no material changes from the risk factor previously disclosed in the Company’s 2025 Annual Report on Form 10-K. The risks and uncertainties described in the Company’s 2025 Annual Report on Form 10-K should be carefully reviewed. These are not the only risks and uncertainties that the Company faces. Additional risks and uncertainties that the Company does not currently know about or that we currently believe are immaterial, or that the Company has not predicted, may also harm our business operations or adversely affect the Company. If any of these risks or uncertainties actually occurs, the Company’s business, financial condition, operating results or liquidity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1"/>
          <w:szCs w:val="21"/>
          <w:b w:val="1"/>
          <w:bCs w:val="1"/>
          <w:color w:val="auto"/>
        </w:rPr>
        <w:t>Item 2. Unregistered Sales of Equity Securities and Use of Proceeds</w:t>
      </w:r>
    </w:p>
    <w:p>
      <w:pPr>
        <w:spacing w:after="0" w:line="258" w:lineRule="exact"/>
        <w:rPr>
          <w:sz w:val="20"/>
          <w:szCs w:val="20"/>
          <w:color w:val="auto"/>
        </w:rPr>
      </w:pPr>
    </w:p>
    <w:p>
      <w:pPr>
        <w:ind w:left="940" w:hanging="325"/>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246" w:lineRule="exact"/>
        <w:rPr>
          <w:sz w:val="20"/>
          <w:szCs w:val="20"/>
          <w:color w:val="auto"/>
        </w:rPr>
      </w:pPr>
    </w:p>
    <w:p>
      <w:pPr>
        <w:ind w:left="940" w:hanging="325"/>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246" w:lineRule="exact"/>
        <w:rPr>
          <w:sz w:val="20"/>
          <w:szCs w:val="20"/>
          <w:color w:val="auto"/>
        </w:rPr>
      </w:pPr>
    </w:p>
    <w:p>
      <w:pPr>
        <w:ind w:left="940" w:hanging="325"/>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6"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200" w:lineRule="exact"/>
        <w:rPr>
          <w:sz w:val="20"/>
          <w:szCs w:val="20"/>
          <w:color w:val="auto"/>
        </w:rPr>
      </w:pPr>
    </w:p>
    <w:p>
      <w:pPr>
        <w:spacing w:after="0" w:line="26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Section 302 of the Sarbanes - Oxley Act of 2002</w:t>
      </w:r>
    </w:p>
    <w:p>
      <w:pPr>
        <w:spacing w:after="0" w:line="25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Section 302 of the Sarbanes - Oxley Act of 2002</w:t>
      </w:r>
    </w:p>
    <w:p>
      <w:pPr>
        <w:spacing w:after="0" w:line="252" w:lineRule="exact"/>
        <w:rPr>
          <w:sz w:val="20"/>
          <w:szCs w:val="20"/>
          <w:color w:val="auto"/>
        </w:rPr>
      </w:pPr>
    </w:p>
    <w:p>
      <w:pPr>
        <w:ind w:left="1960" w:hanging="1304"/>
        <w:spacing w:after="0" w:line="282" w:lineRule="auto"/>
        <w:tabs>
          <w:tab w:leader="none" w:pos="103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Chief Executive Officer and Chief Financial Officer pursuant to 18 U.S.C. Section 1350, as adopted pursuant to Section 906 of the Sarbanes - Oxley Act of 2002</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740" w:type="dxa"/>
            <w:vAlign w:val="bottom"/>
          </w:tcPr>
          <w:p>
            <w:pPr>
              <w:spacing w:after="0"/>
              <w:rPr>
                <w:sz w:val="20"/>
                <w:szCs w:val="20"/>
                <w:color w:val="auto"/>
              </w:rPr>
            </w:pPr>
          </w:p>
        </w:tc>
        <w:tc>
          <w:tcPr>
            <w:tcW w:w="9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5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5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5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5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45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25" w:lineRule="exact"/>
        <w:rPr>
          <w:sz w:val="20"/>
          <w:szCs w:val="20"/>
          <w:color w:val="auto"/>
        </w:rPr>
      </w:pPr>
    </w:p>
    <w:p>
      <w:pPr>
        <w:ind w:left="1100" w:hanging="444"/>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GLACIER BANCORP, INC.</w:t>
            </w:r>
          </w:p>
        </w:tc>
      </w:tr>
      <w:tr>
        <w:trPr>
          <w:trHeight w:val="51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November 3, 2026</w:t>
            </w:r>
          </w:p>
        </w:tc>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Randall M. Chesler</w:t>
            </w:r>
          </w:p>
        </w:tc>
      </w:tr>
      <w:tr>
        <w:trPr>
          <w:trHeight w:val="237"/>
        </w:trPr>
        <w:tc>
          <w:tcPr>
            <w:tcW w:w="550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Randall M. Chesler</w:t>
            </w:r>
          </w:p>
        </w:tc>
      </w:tr>
      <w:tr>
        <w:trPr>
          <w:trHeight w:val="243"/>
        </w:trPr>
        <w:tc>
          <w:tcPr>
            <w:tcW w:w="5500" w:type="dxa"/>
            <w:vAlign w:val="bottom"/>
          </w:tcPr>
          <w:p>
            <w:pPr>
              <w:spacing w:after="0"/>
              <w:rPr>
                <w:sz w:val="21"/>
                <w:szCs w:val="21"/>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CEO</w:t>
            </w:r>
          </w:p>
        </w:tc>
      </w:tr>
      <w:tr>
        <w:trPr>
          <w:trHeight w:val="51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November 3, 2026</w:t>
            </w:r>
          </w:p>
        </w:tc>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Ron J. Copher</w:t>
            </w:r>
          </w:p>
        </w:tc>
      </w:tr>
      <w:tr>
        <w:trPr>
          <w:trHeight w:val="237"/>
        </w:trPr>
        <w:tc>
          <w:tcPr>
            <w:tcW w:w="550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 J. Copher</w:t>
            </w:r>
          </w:p>
        </w:tc>
      </w:tr>
      <w:tr>
        <w:trPr>
          <w:trHeight w:val="243"/>
        </w:trPr>
        <w:tc>
          <w:tcPr>
            <w:tcW w:w="5500" w:type="dxa"/>
            <w:vAlign w:val="bottom"/>
          </w:tcPr>
          <w:p>
            <w:pPr>
              <w:spacing w:after="0"/>
              <w:rPr>
                <w:sz w:val="21"/>
                <w:szCs w:val="21"/>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013"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Randall M. Chesler, certify that:</w:t>
      </w:r>
    </w:p>
    <w:p>
      <w:pPr>
        <w:spacing w:after="0" w:line="117"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Glacier Bancorp,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40"/>
        <w:spacing w:after="0"/>
        <w:tabs>
          <w:tab w:leader="none" w:pos="5980" w:val="left"/>
        </w:tabs>
        <w:rPr>
          <w:sz w:val="20"/>
          <w:szCs w:val="20"/>
          <w:color w:val="auto"/>
        </w:rPr>
      </w:pPr>
      <w:r>
        <w:rPr>
          <w:rFonts w:ascii="Times New Roman" w:cs="Times New Roman" w:eastAsia="Times New Roman" w:hAnsi="Times New Roman"/>
          <w:sz w:val="18"/>
          <w:szCs w:val="18"/>
          <w:color w:val="auto"/>
        </w:rPr>
        <w:t>November 3, 2026</w:t>
      </w:r>
      <w:r>
        <w:rPr>
          <w:sz w:val="20"/>
          <w:szCs w:val="20"/>
          <w:color w:val="auto"/>
        </w:rPr>
        <w:tab/>
      </w:r>
      <w:r>
        <w:rPr>
          <w:rFonts w:ascii="Times New Roman" w:cs="Times New Roman" w:eastAsia="Times New Roman" w:hAnsi="Times New Roman"/>
          <w:sz w:val="17"/>
          <w:szCs w:val="17"/>
          <w:color w:val="auto"/>
        </w:rPr>
        <w:t>/s/ Randall M. Chesler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343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Randall M. Chesler</w:t>
      </w:r>
    </w:p>
    <w:p>
      <w:pPr>
        <w:spacing w:after="0" w:line="3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President/CEO</w:t>
      </w:r>
    </w:p>
    <w:p>
      <w:pPr>
        <w:sectPr>
          <w:pgSz w:w="11900" w:h="16838" w:orient="portrait"/>
          <w:cols w:equalWidth="0" w:num="1">
            <w:col w:w="11240"/>
          </w:cols>
          <w:pgMar w:left="320" w:top="365"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 J. Copher, certify that:</w:t>
      </w:r>
    </w:p>
    <w:p>
      <w:pPr>
        <w:spacing w:after="0" w:line="117"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Glacier Bancorp,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40"/>
        <w:spacing w:after="0"/>
        <w:tabs>
          <w:tab w:leader="none" w:pos="5980" w:val="left"/>
        </w:tabs>
        <w:rPr>
          <w:sz w:val="20"/>
          <w:szCs w:val="20"/>
          <w:color w:val="auto"/>
        </w:rPr>
      </w:pPr>
      <w:r>
        <w:rPr>
          <w:rFonts w:ascii="Times New Roman" w:cs="Times New Roman" w:eastAsia="Times New Roman" w:hAnsi="Times New Roman"/>
          <w:sz w:val="18"/>
          <w:szCs w:val="18"/>
          <w:color w:val="auto"/>
        </w:rPr>
        <w:t>November 3, 2026</w:t>
      </w:r>
      <w:r>
        <w:rPr>
          <w:sz w:val="20"/>
          <w:szCs w:val="20"/>
          <w:color w:val="auto"/>
        </w:rPr>
        <w:tab/>
      </w:r>
      <w:r>
        <w:rPr>
          <w:rFonts w:ascii="Times New Roman" w:cs="Times New Roman" w:eastAsia="Times New Roman" w:hAnsi="Times New Roman"/>
          <w:sz w:val="17"/>
          <w:szCs w:val="17"/>
          <w:color w:val="auto"/>
        </w:rPr>
        <w:t>/s/ Ron J. Copher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343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Ron J. Copher</w:t>
      </w:r>
    </w:p>
    <w:p>
      <w:pPr>
        <w:spacing w:after="0" w:line="3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Executive Vice President/CFO</w:t>
      </w:r>
    </w:p>
    <w:p>
      <w:pPr>
        <w:sectPr>
          <w:pgSz w:w="11900" w:h="16838" w:orient="portrait"/>
          <w:cols w:equalWidth="0" w:num="1">
            <w:col w:w="11240"/>
          </w:cols>
          <w:pgMar w:left="320" w:top="365"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Glacier Bancorp, Inc. (“Company”) on Form 10-Q for the period ended September 30, 2026, as filed with the Securities and Exchange Commission on the date hereof (“Report”), we, Randall M. Chesler, President and Chief Executive Officer, and Ron J. Copher, Executive Vice President and Chief Financial Officer, of the Company, certify, pursuant to 18 U.S.C. Section 1350, as adopted pursuant to Section 906 of the Sarbanes-Oxley Act of 2002, that:</w:t>
      </w:r>
    </w:p>
    <w:p>
      <w:pPr>
        <w:spacing w:after="0" w:line="72" w:lineRule="exact"/>
        <w:rPr>
          <w:sz w:val="20"/>
          <w:szCs w:val="20"/>
          <w:color w:val="auto"/>
        </w:rPr>
      </w:pPr>
    </w:p>
    <w:p>
      <w:pPr>
        <w:ind w:left="560" w:hanging="309"/>
        <w:spacing w:after="0"/>
        <w:tabs>
          <w:tab w:leader="none" w:pos="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 or 78o(d)); and</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November 3, 2026</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Randall M. Chesler</w:t>
            </w:r>
          </w:p>
        </w:tc>
      </w:tr>
      <w:tr>
        <w:trPr>
          <w:trHeight w:val="237"/>
        </w:trPr>
        <w:tc>
          <w:tcPr>
            <w:tcW w:w="59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Randall M. Chesler</w:t>
            </w:r>
          </w:p>
        </w:tc>
      </w:tr>
      <w:tr>
        <w:trPr>
          <w:trHeight w:val="243"/>
        </w:trPr>
        <w:tc>
          <w:tcPr>
            <w:tcW w:w="594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President/CEO</w:t>
            </w:r>
          </w:p>
        </w:tc>
      </w:tr>
      <w:tr>
        <w:trPr>
          <w:trHeight w:val="24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November 3, 2026</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Ron J. Copher</w:t>
            </w:r>
          </w:p>
        </w:tc>
      </w:tr>
      <w:tr>
        <w:trPr>
          <w:trHeight w:val="237"/>
        </w:trPr>
        <w:tc>
          <w:tcPr>
            <w:tcW w:w="59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 J. Copher</w:t>
            </w:r>
          </w:p>
        </w:tc>
      </w:tr>
      <w:tr>
        <w:trPr>
          <w:trHeight w:val="243"/>
        </w:trPr>
        <w:tc>
          <w:tcPr>
            <w:tcW w:w="594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President/CFO</w:t>
            </w:r>
          </w:p>
        </w:tc>
      </w:tr>
    </w:tbl>
    <w:p>
      <w:pPr>
        <w:spacing w:after="0" w:line="1" w:lineRule="exact"/>
        <w:rPr>
          <w:sz w:val="20"/>
          <w:szCs w:val="20"/>
          <w:color w:val="auto"/>
        </w:rPr>
      </w:pPr>
    </w:p>
    <w:sectPr>
      <w:pgSz w:w="11900" w:h="16838" w:orient="portrait"/>
      <w:cols w:equalWidth="0" w:num="1">
        <w:col w:w="11240"/>
      </w:cols>
      <w:pgMar w:left="320" w:top="3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3"/>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bullet"/>
      <w:start w:val="1"/>
    </w:lvl>
  </w:abstractNum>
  <w:abstractNum w:abstractNumId="7">
    <w:nsid w:val="333AB105"/>
    <w:multiLevelType w:val="hybridMultilevel"/>
    <w:lvl w:ilvl="0">
      <w:lvlJc w:val="left"/>
      <w:lvlText w:val="1"/>
      <w:numFmt w:val="bullet"/>
      <w:start w:val="1"/>
    </w:lvl>
  </w:abstractNum>
  <w:abstractNum w:abstractNumId="8">
    <w:nsid w:val="721DA317"/>
    <w:multiLevelType w:val="hybridMultilevel"/>
    <w:lvl w:ilvl="0">
      <w:lvlJc w:val="left"/>
      <w:lvlText w:val="1"/>
      <w:numFmt w:val="bullet"/>
      <w:start w:val="1"/>
    </w:lvl>
  </w:abstractNum>
  <w:abstractNum w:abstractNumId="9">
    <w:nsid w:val="2443A858"/>
    <w:multiLevelType w:val="hybridMultilevel"/>
    <w:lvl w:ilvl="0">
      <w:lvlJc w:val="left"/>
      <w:lvlText w:val="1"/>
      <w:numFmt w:val="bullet"/>
      <w:start w:val="1"/>
    </w:lvl>
  </w:abstractNum>
  <w:abstractNum w:abstractNumId="10">
    <w:nsid w:val="2D1D5AE9"/>
    <w:multiLevelType w:val="hybridMultilevel"/>
    <w:lvl w:ilvl="0">
      <w:lvlJc w:val="left"/>
      <w:lvlText w:val="1"/>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bullet"/>
      <w:start w:val="1"/>
    </w:lvl>
  </w:abstractNum>
  <w:abstractNum w:abstractNumId="13">
    <w:nsid w:val="8EDBDAB"/>
    <w:multiLevelType w:val="hybridMultilevel"/>
    <w:lvl w:ilvl="0">
      <w:lvlJc w:val="left"/>
      <w:lvlText w:val="1"/>
      <w:numFmt w:val="bullet"/>
      <w:start w:val="1"/>
    </w:lvl>
  </w:abstractNum>
  <w:abstractNum w:abstractNumId="14">
    <w:nsid w:val="79838CB2"/>
    <w:multiLevelType w:val="hybridMultilevel"/>
    <w:lvl w:ilvl="0">
      <w:lvlJc w:val="left"/>
      <w:lvlText w:val="1"/>
      <w:numFmt w:val="bullet"/>
      <w:start w:val="1"/>
    </w:lvl>
  </w:abstractNum>
  <w:abstractNum w:abstractNumId="15">
    <w:nsid w:val="4353D0CD"/>
    <w:multiLevelType w:val="hybridMultilevel"/>
    <w:lvl w:ilvl="0">
      <w:lvlJc w:val="left"/>
      <w:lvlText w:val="1"/>
      <w:numFmt w:val="bullet"/>
      <w:start w:val="1"/>
    </w:lvl>
  </w:abstractNum>
  <w:abstractNum w:abstractNumId="16">
    <w:nsid w:val="B03E0C6"/>
    <w:multiLevelType w:val="hybridMultilevel"/>
    <w:lvl w:ilvl="0">
      <w:lvlJc w:val="left"/>
      <w:lvlText w:val="1"/>
      <w:numFmt w:val="bullet"/>
      <w:start w:val="1"/>
    </w:lvl>
  </w:abstractNum>
  <w:abstractNum w:abstractNumId="17">
    <w:nsid w:val="189A769B"/>
    <w:multiLevelType w:val="hybridMultilevel"/>
    <w:lvl w:ilvl="0">
      <w:lvlJc w:val="left"/>
      <w:lvlText w:val="1"/>
      <w:numFmt w:val="bullet"/>
      <w:start w:val="1"/>
    </w:lvl>
  </w:abstractNum>
  <w:abstractNum w:abstractNumId="18">
    <w:nsid w:val="54E49EB4"/>
    <w:multiLevelType w:val="hybridMultilevel"/>
    <w:lvl w:ilvl="0">
      <w:lvlJc w:val="left"/>
      <w:lvlText w:val="1"/>
      <w:numFmt w:val="bullet"/>
      <w:start w:val="1"/>
    </w:lvl>
  </w:abstractNum>
  <w:abstractNum w:abstractNumId="19">
    <w:nsid w:val="71F32454"/>
    <w:multiLevelType w:val="hybridMultilevel"/>
    <w:lvl w:ilvl="0">
      <w:lvlJc w:val="left"/>
      <w:lvlText w:val="1"/>
      <w:numFmt w:val="bullet"/>
      <w:start w:val="1"/>
    </w:lvl>
  </w:abstractNum>
  <w:abstractNum w:abstractNumId="20">
    <w:nsid w:val="2CA88611"/>
    <w:multiLevelType w:val="hybridMultilevel"/>
    <w:lvl w:ilvl="0">
      <w:lvlJc w:val="left"/>
      <w:lvlText w:val="1"/>
      <w:numFmt w:val="bullet"/>
      <w:start w:val="1"/>
    </w:lvl>
  </w:abstractNum>
  <w:abstractNum w:abstractNumId="21">
    <w:nsid w:val="836C40E"/>
    <w:multiLevelType w:val="hybridMultilevel"/>
    <w:lvl w:ilvl="0">
      <w:lvlJc w:val="left"/>
      <w:lvlText w:val="1"/>
      <w:numFmt w:val="bullet"/>
      <w:start w:val="1"/>
    </w:lvl>
  </w:abstractNum>
  <w:abstractNum w:abstractNumId="22">
    <w:nsid w:val="2901D82"/>
    <w:multiLevelType w:val="hybridMultilevel"/>
    <w:lvl w:ilvl="0">
      <w:lvlJc w:val="left"/>
      <w:lvlText w:val="1"/>
      <w:numFmt w:val="bullet"/>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bullet"/>
      <w:start w:val="1"/>
    </w:lvl>
  </w:abstractNum>
  <w:abstractNum w:abstractNumId="25">
    <w:nsid w:val="1E7FF521"/>
    <w:multiLevelType w:val="hybridMultilevel"/>
    <w:lvl w:ilvl="0">
      <w:lvlJc w:val="left"/>
      <w:lvlText w:val="1"/>
      <w:numFmt w:val="bullet"/>
      <w:start w:val="1"/>
    </w:lvl>
  </w:abstractNum>
  <w:abstractNum w:abstractNumId="26">
    <w:nsid w:val="7C3DBD3D"/>
    <w:multiLevelType w:val="hybridMultilevel"/>
    <w:lvl w:ilvl="0">
      <w:lvlJc w:val="left"/>
      <w:lvlText w:val="1"/>
      <w:numFmt w:val="bullet"/>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decimal"/>
      <w:start w:val="32"/>
    </w:lvl>
  </w:abstractNum>
  <w:abstractNum w:abstractNumId="31">
    <w:nsid w:val="3006C83E"/>
    <w:multiLevelType w:val="hybridMultilevel"/>
    <w:lvl w:ilvl="0">
      <w:lvlJc w:val="left"/>
      <w:lvlText w:val="%1"/>
      <w:numFmt w:val="decimal"/>
      <w:start w:val="104"/>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2026-11-03T15:45:22Z</dcterms:created>
  <dcterms:modified xsi:type="dcterms:W3CDTF">2026-11-03T15:45:22Z</dcterms:modified>
</cp:coreProperties>
</file>