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4"/>
        </w:rPr>
        <w:t xml:space="preserve">Date of Report (Date of earliest event reported): </w:t>
      </w:r>
      <w:r>
        <w:rPr>
          <w:rFonts w:ascii="Times New Roman;serif" w:hAnsi="Times New Roman;serif"/>
          <w:b/>
          <w:color w:val="000000"/>
          <w:sz w:val="24"/>
        </w:rPr>
        <w:t xml:space="preserve">October 22,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GLACIER BANCORP,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tbl>
      <w:tblPr>
        <w:tblW w:w="4737" w:type="dxa"/>
        <w:jc w:val="center"/>
        <w:tblInd w:w="0" w:type="dxa"/>
        <w:tblLayout w:type="fixed"/>
        <w:tblCellMar>
          <w:top w:w="28" w:type="dxa"/>
          <w:left w:w="28" w:type="dxa"/>
          <w:bottom w:w="28" w:type="dxa"/>
          <w:right w:w="28" w:type="dxa"/>
        </w:tblCellMar>
      </w:tblPr>
      <w:tblGrid>
        <w:gridCol w:w="766"/>
        <w:gridCol w:w="670"/>
        <w:gridCol w:w="678"/>
        <w:gridCol w:w="379"/>
        <w:gridCol w:w="379"/>
        <w:gridCol w:w="381"/>
        <w:gridCol w:w="434"/>
        <w:gridCol w:w="434"/>
        <w:gridCol w:w="616"/>
      </w:tblGrid>
      <w:tr>
        <w:trPr/>
        <w:tc>
          <w:tcPr>
            <w:tcW w:w="76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Montana</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001-41170</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81-0519541</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(State or other jurisdiction </w:t>
              <w:br/>
              <w:t>of incorporation)</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(Commission </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(IRS Employer </w:t>
              <w:br/>
              <w:t>Identification No.)</w:t>
            </w:r>
          </w:p>
        </w:tc>
      </w:tr>
    </w:tbl>
    <w:tbl>
      <w:tblPr>
        <w:tblW w:w="5054" w:type="dxa"/>
        <w:jc w:val="center"/>
        <w:tblInd w:w="0" w:type="dxa"/>
        <w:tblLayout w:type="fixed"/>
        <w:tblCellMar>
          <w:top w:w="28" w:type="dxa"/>
          <w:left w:w="28" w:type="dxa"/>
          <w:bottom w:w="28" w:type="dxa"/>
          <w:right w:w="28" w:type="dxa"/>
        </w:tblCellMar>
      </w:tblPr>
      <w:tblGrid>
        <w:gridCol w:w="745"/>
        <w:gridCol w:w="654"/>
        <w:gridCol w:w="656"/>
        <w:gridCol w:w="344"/>
        <w:gridCol w:w="344"/>
        <w:gridCol w:w="346"/>
        <w:gridCol w:w="345"/>
        <w:gridCol w:w="345"/>
        <w:gridCol w:w="346"/>
        <w:gridCol w:w="272"/>
        <w:gridCol w:w="272"/>
        <w:gridCol w:w="385"/>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49 Commons Loop</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Kalispell,</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Montana</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59901</w:t>
            </w:r>
          </w:p>
        </w:tc>
      </w:tr>
      <w:tr>
        <w:trPr/>
        <w:tc>
          <w:tcPr>
            <w:tcW w:w="4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tbl>
      <w:tblPr>
        <w:tblW w:w="3996" w:type="dxa"/>
        <w:jc w:val="center"/>
        <w:tblInd w:w="0" w:type="dxa"/>
        <w:tblLayout w:type="fixed"/>
        <w:tblCellMar>
          <w:top w:w="28" w:type="dxa"/>
          <w:left w:w="28" w:type="dxa"/>
          <w:bottom w:w="28" w:type="dxa"/>
          <w:right w:w="28" w:type="dxa"/>
        </w:tblCellMar>
      </w:tblPr>
      <w:tblGrid>
        <w:gridCol w:w="241"/>
        <w:gridCol w:w="211"/>
        <w:gridCol w:w="211"/>
        <w:gridCol w:w="211"/>
        <w:gridCol w:w="211"/>
        <w:gridCol w:w="211"/>
        <w:gridCol w:w="211"/>
        <w:gridCol w:w="211"/>
        <w:gridCol w:w="211"/>
        <w:gridCol w:w="602"/>
        <w:gridCol w:w="602"/>
        <w:gridCol w:w="863"/>
      </w:tblGrid>
      <w:tr>
        <w:trPr/>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(406)</w:t>
            </w:r>
          </w:p>
        </w:tc>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756-4200</w:t>
            </w:r>
          </w:p>
        </w:tc>
      </w:tr>
      <w:tr>
        <w:trPr/>
        <w:tc>
          <w:tcPr>
            <w:tcW w:w="39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w:t>
      </w:r>
    </w:p>
    <w:p>
      <w:pPr>
        <w:pStyle w:val="TextBody"/>
        <w:bidi w:val="0"/>
        <w:spacing w:lineRule="auto" w:line="288" w:before="0" w:after="0"/>
        <w:ind w:left="0" w:right="0" w:hanging="270"/>
        <w:jc w:val="left"/>
        <w:rPr/>
      </w:pPr>
      <w:r>
        <w:rPr>
          <w:color w:val="000000"/>
        </w:rPr>
        <w:t xml:space="preserve">☐ </w:t>
      </w:r>
      <w:r>
        <w:rPr>
          <w:rFonts w:ascii="Times New Roman;serif" w:hAnsi="Times New Roman;serif"/>
          <w:b w:val="false"/>
          <w:color w:val="000000"/>
          <w:sz w:val="22"/>
        </w:rPr>
        <w:t>Written communications pursuant to Rule 425 under the Securities Act (17 CFR 230.425)</w:t>
      </w:r>
    </w:p>
    <w:p>
      <w:pPr>
        <w:pStyle w:val="TextBody"/>
        <w:bidi w:val="0"/>
        <w:spacing w:lineRule="auto" w:line="288" w:before="0" w:after="0"/>
        <w:ind w:left="0" w:right="0" w:hanging="270"/>
        <w:jc w:val="left"/>
        <w:rPr/>
      </w:pPr>
      <w:r>
        <w:rPr>
          <w:color w:val="000000"/>
        </w:rPr>
        <w:t xml:space="preserve">☐ </w:t>
      </w:r>
      <w:r>
        <w:rPr>
          <w:rFonts w:ascii="Times New Roman;serif" w:hAnsi="Times New Roman;serif"/>
          <w:b w:val="false"/>
          <w:color w:val="000000"/>
          <w:sz w:val="22"/>
        </w:rPr>
        <w:t>Soliciting material pursuant to Rule 14a-12 under the Exchange Act (17 CFR 240.14a-12)</w:t>
      </w:r>
    </w:p>
    <w:p>
      <w:pPr>
        <w:pStyle w:val="TextBody"/>
        <w:bidi w:val="0"/>
        <w:spacing w:lineRule="auto" w:line="288" w:before="0" w:after="0"/>
        <w:ind w:left="0" w:right="0" w:hanging="270"/>
        <w:jc w:val="left"/>
        <w:rPr/>
      </w:pPr>
      <w:r>
        <w:rPr>
          <w:color w:val="000000"/>
        </w:rPr>
        <w:t xml:space="preserve">☐ </w:t>
      </w:r>
      <w:r>
        <w:rPr>
          <w:rFonts w:ascii="Times New Roman;serif" w:hAnsi="Times New Roman;serif"/>
          <w:b w:val="false"/>
          <w:color w:val="000000"/>
          <w:sz w:val="22"/>
        </w:rPr>
        <w:t>Pre-commencement communications pursuant to Rule 14d-2(b) under the Exchange Act (17 CFR 240.14d-2(b))</w:t>
      </w:r>
    </w:p>
    <w:p>
      <w:pPr>
        <w:pStyle w:val="TextBody"/>
        <w:bidi w:val="0"/>
        <w:spacing w:lineRule="auto" w:line="288" w:before="0" w:after="0"/>
        <w:ind w:left="0" w:right="0" w:hanging="270"/>
        <w:jc w:val="left"/>
        <w:rPr/>
      </w:pPr>
      <w:r>
        <w:rPr>
          <w:color w:val="000000"/>
        </w:rPr>
        <w:t xml:space="preserve">☐ </w:t>
      </w:r>
      <w:r>
        <w:rPr>
          <w:rFonts w:ascii="Times New Roman;serif" w:hAnsi="Times New Roman;serif"/>
          <w:b w:val="false"/>
          <w:color w:val="000000"/>
          <w:sz w:val="22"/>
        </w:rPr>
        <w:t>Pre-commencement communications pursuant to Rule 13e-4(c) under the Exchange Act (17 CFR 240.13e-4(c))</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Securities registered pursuant to Section 12(b) of the Act:</w:t>
      </w:r>
    </w:p>
    <w:tbl>
      <w:tblPr>
        <w:tblW w:w="9343" w:type="dxa"/>
        <w:jc w:val="left"/>
        <w:tblInd w:w="0" w:type="dxa"/>
        <w:tblLayout w:type="fixed"/>
        <w:tblCellMar>
          <w:top w:w="28" w:type="dxa"/>
          <w:left w:w="28" w:type="dxa"/>
          <w:bottom w:w="28" w:type="dxa"/>
          <w:right w:w="28" w:type="dxa"/>
        </w:tblCellMar>
      </w:tblPr>
      <w:tblGrid>
        <w:gridCol w:w="1147"/>
        <w:gridCol w:w="1003"/>
        <w:gridCol w:w="1015"/>
        <w:gridCol w:w="619"/>
        <w:gridCol w:w="619"/>
        <w:gridCol w:w="621"/>
        <w:gridCol w:w="1264"/>
        <w:gridCol w:w="1264"/>
        <w:gridCol w:w="1791"/>
      </w:tblGrid>
      <w:tr>
        <w:trPr/>
        <w:tc>
          <w:tcPr>
            <w:tcW w:w="114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Title of each class</w:t>
            </w:r>
          </w:p>
        </w:tc>
        <w:tc>
          <w:tcPr>
            <w:tcW w:w="185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Trading Symbol(s)</w:t>
            </w:r>
          </w:p>
        </w:tc>
        <w:tc>
          <w:tcPr>
            <w:tcW w:w="431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Name of each exchange on which registered</w:t>
            </w:r>
          </w:p>
        </w:tc>
      </w:tr>
      <w:tr>
        <w:trPr/>
        <w:tc>
          <w:tcPr>
            <w:tcW w:w="316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 $0.01 par value</w:t>
            </w:r>
          </w:p>
        </w:tc>
        <w:tc>
          <w:tcPr>
            <w:tcW w:w="185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GBCI</w:t>
            </w:r>
          </w:p>
        </w:tc>
        <w:tc>
          <w:tcPr>
            <w:tcW w:w="431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000000"/>
          <w:sz w:val="22"/>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October 22, 2026, Glacier Bancorp, Inc. ("Company") issued a press release announcing its financial results for the quarter ended September 30, 2026. A copy of the press release is attached as Exhibit 99.1 and is incorporated herein in its entirety by reference.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The information in this Item 2.02 and the Exhibit attached hereto is furnished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document or filing.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before="0" w:after="0"/>
        <w:jc w:val="left"/>
        <w:rPr/>
      </w:pPr>
      <w:r>
        <w:rPr/>
      </w:r>
    </w:p>
    <w:p>
      <w:pPr>
        <w:pStyle w:val="TextBody"/>
        <w:bidi w:val="0"/>
        <w:spacing w:lineRule="auto" w:line="288" w:before="0" w:after="0"/>
        <w:ind w:left="0" w:right="0" w:hanging="720"/>
        <w:jc w:val="both"/>
        <w:rPr/>
      </w:pPr>
      <w:hyperlink w:anchor="gbci-09302026xex991.htm">
        <w:r>
          <w:rPr>
            <w:rStyle w:val="InternetLink"/>
            <w:rFonts w:ascii="Times New Roman;serif" w:hAnsi="Times New Roman;serif"/>
            <w:b w:val="false"/>
            <w:color w:val="0000FF"/>
            <w:sz w:val="22"/>
            <w:u w:val="single"/>
          </w:rPr>
          <w:t>99.1</w:t>
        </w:r>
      </w:hyperlink>
      <w:r>
        <w:rPr>
          <w:color w:val="000000"/>
        </w:rPr>
        <w:t>    </w:t>
      </w:r>
      <w:r>
        <w:rPr>
          <w:rFonts w:ascii="Times New Roman;serif" w:hAnsi="Times New Roman;serif"/>
          <w:b w:val="false"/>
          <w:color w:val="000000"/>
          <w:sz w:val="22"/>
        </w:rPr>
        <w:t>Glacier Bancorp, Inc. Announces Results for the Quarter and Period Ended September 30, 2026</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104    Cover Page Interactive Data File (embedded within the Inline XBRL document)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490" w:type="dxa"/>
        <w:jc w:val="center"/>
        <w:tblInd w:w="0" w:type="dxa"/>
        <w:tblLayout w:type="fixed"/>
        <w:tblCellMar>
          <w:top w:w="28" w:type="dxa"/>
          <w:left w:w="28" w:type="dxa"/>
          <w:bottom w:w="28" w:type="dxa"/>
          <w:right w:w="28" w:type="dxa"/>
        </w:tblCellMar>
      </w:tblPr>
      <w:tblGrid>
        <w:gridCol w:w="266"/>
        <w:gridCol w:w="234"/>
        <w:gridCol w:w="235"/>
        <w:gridCol w:w="584"/>
        <w:gridCol w:w="584"/>
        <w:gridCol w:w="586"/>
        <w:gridCol w:w="437"/>
        <w:gridCol w:w="437"/>
        <w:gridCol w:w="437"/>
        <w:gridCol w:w="1071"/>
        <w:gridCol w:w="1071"/>
        <w:gridCol w:w="1548"/>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October 22, 2026</w:t>
            </w:r>
          </w:p>
        </w:tc>
        <w:tc>
          <w:tcPr>
            <w:tcW w:w="50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GLACIER BANCORP, INC.</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Randall M. Chesler</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6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Randall M. Chesler</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President and Chief Executive Officer</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4762500" cy="10477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4762500" cy="10477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NEWS RELEASE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October 22, 2026</w:t>
      </w:r>
    </w:p>
    <w:tbl>
      <w:tblPr>
        <w:tblW w:w="7080" w:type="dxa"/>
        <w:jc w:val="center"/>
        <w:tblInd w:w="0" w:type="dxa"/>
        <w:tblLayout w:type="fixed"/>
        <w:tblCellMar>
          <w:top w:w="28" w:type="dxa"/>
          <w:left w:w="28" w:type="dxa"/>
          <w:bottom w:w="28" w:type="dxa"/>
          <w:right w:w="28" w:type="dxa"/>
        </w:tblCellMar>
      </w:tblPr>
      <w:tblGrid>
        <w:gridCol w:w="1152"/>
        <w:gridCol w:w="1013"/>
        <w:gridCol w:w="1015"/>
        <w:gridCol w:w="1141"/>
        <w:gridCol w:w="1141"/>
        <w:gridCol w:w="1618"/>
      </w:tblGrid>
      <w:tr>
        <w:trPr/>
        <w:tc>
          <w:tcPr>
            <w:tcW w:w="115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FOR IMMEDIATE RELEASE</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CONTACT: Randall M. Chesler, CEO</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(406) 751-4722</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Ron J. Copher, CFO</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(406) 751-7706</w:t>
            </w:r>
          </w:p>
        </w:tc>
      </w:tr>
    </w:tbl>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GLACIER BANCORP, INC. ANNOUNCES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RESULTS FOR THE QUARTER AND PERIOD ENDED SEPTEMBER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3rd Quarter 2026 Highlights: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Net income was a record $105 million for the current quarter, an increase of $6.7 million, or 7 percent, from the prior quarter net income of $97.9 million and an increase of $36.7 million, or 54 percent, from the prior year third quarter net income of $67.9 million.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Diluted earnings per share for the current quarter was $0.80, an increase of $0.05 per share, or 7 percent, from the prior quarter diluted earnings per share of $0.75 and an increase of $0.23 per share, or 40 percent, from the prior year third quarter diluted earnings per share of $0.57.</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Operating diluted earnings per share</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for the current quarter was $0.81, an increase of $0.05 per share, or 7 percent, from the prior quarter operating diluted earnings per share of $0.76 and an increase of $0.19 per share, or 31 percent, from the prior year third quarter operating diluted earnings per share of $0.62.</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Net interest income for the current quarter was $290 million, an increase of $13.5 million, or 5 percent, from the prior quarter net interest income of $276 million and an increase of $65 million, or 29 percent, from the prior year third quarter net interest income of $225 million.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 xml:space="preserve">The loan portfolio of $21.620 billion at September 30, 2026, increased $256 million, or 5 percent annualized, from the prior quarter.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 xml:space="preserve">Total deposits of $25.273 billion for the current quarter increased $619 million, or 10 percent annualized, from the prior quarter.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Total non-interest bearing deposits of $7.702 billion for the current quarter increased $279 million, or 15 percent annualized, from the prior quarter.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 xml:space="preserve">The net interest margin as a percentage of earning assets, on a tax-equivalent basis, for the current quarter was 4.01 percent, an increase of 11 basis points from the prior quarter net interest margin of 3.90 percent and an increase of 62 basis points from the prior year third quarter net interest margin of 3.39 percent. </w:t>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Arial Narrow;sans-serif" w:hAnsi="Arial Narrow;sans-serif"/>
          <w:b w:val="false"/>
          <w:color w:val="000000"/>
          <w:sz w:val="18"/>
        </w:rPr>
        <w:t>Represents a non-GAAP financial measure. Supplemental “Non-GAAP Financial Measures and Reconciliations” tables are provided to reconcile the most directly comparable financial measure calculated and presented in accordance with GAAP.</w:t>
      </w:r>
    </w:p>
    <w:p>
      <w:pPr>
        <w:pStyle w:val="TextBody"/>
        <w:bidi w:val="0"/>
        <w:ind w:left="0" w:right="0" w:hanging="1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The total earning assets yield of 5.23 percent in the current quarter increased 9 basis points from the prior quarter earning assets yield of 5.14 percent and increased 37 basis points from the prior year third quarter earning assets yield of 4.86 percent.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The core deposit cost (including non-interest bearing deposits) of 1.17 percent in the current quarter decreased 1 basis point from the prior quarter core deposit cost of 1.18 percent and decreased 6 basis points from the prior year third quarter core deposit cost of 1.23 percent.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The total cost of funding (including non-interest bearing deposits) of 1.32 percent in the current quarter decreased 1 basis point from the prior quarter total cost of funding of 1.33 percent and decreased 26 basis points from the prior year third quarter total cost of funding of 1.58 percent.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The Company declared a quarterly dividend of $0.35 per share, an increase of $0.02, or 6 percent, over the prior quarter. The Company has declared 166 consecutive quarterly dividends and has increased the dividend 50 times.</w:t>
      </w:r>
    </w:p>
    <w:p>
      <w:pPr>
        <w:pStyle w:val="TextBody"/>
        <w:bidi w:val="0"/>
        <w:spacing w:before="120" w:after="283"/>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Year-to-Date 2026 Highlights: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Net income for the first nine months of 2026 was $285 million, an increase of $109 million, or 62 percent, from the prior year first nine months net income of $175 million.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Diluted earnings per share for the first nine months of 2026 was $2.18, an increase of $0.67 per share, or 44 percent, from the prior year first nine months diluted earnings per share of $1.51.</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Operating diluted earnings per share for the first nine months of 2026 was $2.26, an increase of $0.59 per share, or 35 percent, from the prior year first nine months operating diluted earnings per share of $1.67.</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Net interest income for the first nine months of 2026 was $835 million, an increase of $212 million, or 34 percent, from the prior year first nine months net interest income of $623 million.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 xml:space="preserve">The loan portfolio increased $2.829 billion, or 15 percent, from the prior year third quarter.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Total deposits increased $3.402 billion, or 16 percent, from the prior year third quarter.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 xml:space="preserve">The net interest margin as a percentage of earning assets, on a tax-equivalent basis, for the first nine months of 2026 was 3.90 percent, an increase of 69 basis points from the prior year first nine months net interest margin of 3.21 percent.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The Company completed the core system conversion of Guaranty Bancshares, Inc., the bank holding company for Guaranty Bank &amp; Trust, N.A. (collectively, “Guaranty”). Guaranty was acquired on October 1, 2025, with total assets of $3.357 billion.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4"/>
        </w:rPr>
        <w:t xml:space="preserve">Dividends declared in the first nine months of 2026, were $1.01 per share, an increase of $0.02, or 2 percent, over the prior year first nine months of $0.99 per share. </w:t>
      </w:r>
    </w:p>
    <w:p>
      <w:pPr>
        <w:pStyle w:val="TextBody"/>
        <w:bidi w:val="0"/>
        <w:spacing w:before="120" w:after="283"/>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Financial Summary</w:t>
      </w:r>
    </w:p>
    <w:tbl>
      <w:tblPr>
        <w:tblW w:w="10205" w:type="dxa"/>
        <w:jc w:val="center"/>
        <w:tblInd w:w="0" w:type="dxa"/>
        <w:tblLayout w:type="fixed"/>
        <w:tblCellMar>
          <w:top w:w="28" w:type="dxa"/>
          <w:left w:w="28" w:type="dxa"/>
          <w:bottom w:w="28" w:type="dxa"/>
          <w:right w:w="28" w:type="dxa"/>
        </w:tblCellMar>
      </w:tblPr>
      <w:tblGrid>
        <w:gridCol w:w="789"/>
        <w:gridCol w:w="477"/>
        <w:gridCol w:w="481"/>
        <w:gridCol w:w="196"/>
        <w:gridCol w:w="736"/>
        <w:gridCol w:w="241"/>
        <w:gridCol w:w="109"/>
        <w:gridCol w:w="109"/>
        <w:gridCol w:w="109"/>
        <w:gridCol w:w="364"/>
        <w:gridCol w:w="364"/>
        <w:gridCol w:w="292"/>
        <w:gridCol w:w="109"/>
        <w:gridCol w:w="109"/>
        <w:gridCol w:w="109"/>
        <w:gridCol w:w="364"/>
        <w:gridCol w:w="364"/>
        <w:gridCol w:w="295"/>
        <w:gridCol w:w="109"/>
        <w:gridCol w:w="109"/>
        <w:gridCol w:w="109"/>
        <w:gridCol w:w="364"/>
        <w:gridCol w:w="364"/>
        <w:gridCol w:w="295"/>
        <w:gridCol w:w="109"/>
        <w:gridCol w:w="155"/>
        <w:gridCol w:w="155"/>
        <w:gridCol w:w="155"/>
        <w:gridCol w:w="155"/>
        <w:gridCol w:w="379"/>
        <w:gridCol w:w="357"/>
        <w:gridCol w:w="366"/>
        <w:gridCol w:w="109"/>
        <w:gridCol w:w="109"/>
        <w:gridCol w:w="109"/>
        <w:gridCol w:w="368"/>
        <w:gridCol w:w="368"/>
        <w:gridCol w:w="344"/>
      </w:tblGrid>
      <w:tr>
        <w:trPr/>
        <w:tc>
          <w:tcPr>
            <w:tcW w:w="78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1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At or for the 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At or for the Nine Months ended</w:t>
            </w:r>
          </w:p>
        </w:tc>
        <w:tc>
          <w:tcPr>
            <w:tcW w:w="1407" w:type="dxa"/>
            <w:gridSpan w:val="6"/>
            <w:tcBorders/>
          </w:tcPr>
          <w:p>
            <w:pPr>
              <w:pStyle w:val="TableContents"/>
              <w:bidi w:val="0"/>
              <w:spacing w:before="0" w:after="283"/>
              <w:jc w:val="left"/>
              <w:rPr>
                <w:sz w:val="4"/>
                <w:szCs w:val="4"/>
              </w:rPr>
            </w:pPr>
            <w:r>
              <w:rPr>
                <w:sz w:val="4"/>
                <w:szCs w:val="4"/>
              </w:rPr>
            </w:r>
          </w:p>
        </w:tc>
      </w:tr>
      <w:tr>
        <w:trPr/>
        <w:tc>
          <w:tcPr>
            <w:tcW w:w="1747"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 except per share and market data)</w:t>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2025</w:t>
            </w:r>
          </w:p>
        </w:tc>
      </w:tr>
      <w:tr>
        <w:trPr/>
        <w:tc>
          <w:tcPr>
            <w:tcW w:w="1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Performance results</w:t>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104,562 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97,862 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82,144 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67,900 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284,568 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175,249 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Basic earnings per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0.75 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0.63 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0.57 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1.51 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Diluted earnings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0.75 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0.63 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0.57 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2.18 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1.51 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Operating diluted earnings per share (non-GAAP) </w:t>
            </w:r>
            <w:r>
              <w:rPr>
                <w:rFonts w:ascii="Arial Narrow;sans-serif" w:hAnsi="Arial Narrow;sans-serif"/>
                <w:b w:val="false"/>
                <w:color w:val="000000"/>
                <w:sz w:val="13"/>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0.70 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0.62 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2.26 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Dividends declared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0.33 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0.33 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0.33 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0.99 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Market value per share</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Closing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51.58 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44.67 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48.67 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43.20 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48.67 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High</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52.16 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53.99 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50.54 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54.58 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52.81 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Low</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44.26 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41.87 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42.08 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41.87 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36.76 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Selected ratios and other data</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Number of common stock shares outstanding</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130,218,983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130,202,054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130,124,378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118,552,847</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130,218,983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118,552,847</w:t>
            </w:r>
          </w:p>
        </w:tc>
      </w:tr>
      <w:tr>
        <w:trPr/>
        <w:tc>
          <w:tcPr>
            <w:tcW w:w="1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Average outstanding shares - basic</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130,214,868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130,167,496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130,052,858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118,552,231</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130,145,667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116,316,754</w:t>
            </w:r>
          </w:p>
        </w:tc>
      </w:tr>
      <w:tr>
        <w:trPr/>
        <w:tc>
          <w:tcPr>
            <w:tcW w:w="1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Average outstanding shares - diluted</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130,433,235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130,346,888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130,242,765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118,628,434</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130,324,260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116,382,822</w:t>
            </w:r>
          </w:p>
        </w:tc>
      </w:tr>
      <w:tr>
        <w:trPr/>
        <w:tc>
          <w:tcPr>
            <w:tcW w:w="1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Return on average assets (annualized)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0.93 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0.82 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Return on average equity (annualized)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7.82 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7.52 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8.84 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6.82 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Efficiency ratio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56.08 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56.65 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63.05 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62.05 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58.51 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63.12 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7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Operating efficiency ratio (non-GAAP) </w:t>
            </w:r>
            <w:r>
              <w:rPr>
                <w:rFonts w:ascii="Arial Narrow;sans-serif" w:hAnsi="Arial Narrow;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55.75 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56.21 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59.25 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58.87 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57.03 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61.83 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Loan to deposit ratio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85.69 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86.84 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85.18 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86.11 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85.69 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86.11 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7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Number of full time equivalent employees</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3,649</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3,649</w:t>
            </w:r>
          </w:p>
        </w:tc>
      </w:tr>
      <w:tr>
        <w:trPr/>
        <w:tc>
          <w:tcPr>
            <w:tcW w:w="1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Number of locations</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248</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248</w:t>
            </w:r>
          </w:p>
        </w:tc>
      </w:tr>
      <w:tr>
        <w:trPr/>
        <w:tc>
          <w:tcPr>
            <w:tcW w:w="1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Number of ATMs</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Represents a non-GAAP financial measure. Supplemental “Non-GAAP Financial Measures and Reconciliations” tables are provided to reconcile the most directly comparable financial measure calculated and presented in accordance with GAAP.</w:t>
      </w:r>
    </w:p>
    <w:p>
      <w:pPr>
        <w:pStyle w:val="TextBody"/>
        <w:bidi w:val="0"/>
        <w:spacing w:before="0" w:after="0"/>
        <w:ind w:left="0" w:right="0" w:hanging="180"/>
        <w:jc w:val="both"/>
        <w:rPr/>
      </w:pPr>
      <w:r>
        <w:rPr/>
      </w:r>
    </w:p>
    <w:p>
      <w:pPr>
        <w:pStyle w:val="TextBody"/>
        <w:bidi w:val="0"/>
        <w:spacing w:lineRule="auto" w:line="268" w:before="0" w:after="0"/>
        <w:jc w:val="both"/>
        <w:rPr/>
      </w:pPr>
      <w:r>
        <w:rPr>
          <w:rFonts w:ascii="Times New Roman;serif" w:hAnsi="Times New Roman;serif"/>
          <w:b/>
          <w:color w:val="000000"/>
          <w:sz w:val="24"/>
        </w:rPr>
        <w:t>KALISPELL, Mont.</w:t>
      </w:r>
      <w:r>
        <w:rPr>
          <w:rFonts w:ascii="Times New Roman;serif" w:hAnsi="Times New Roman;serif"/>
          <w:b w:val="false"/>
          <w:color w:val="000000"/>
          <w:sz w:val="24"/>
        </w:rPr>
        <w:t>, Oct 22, 2026, (GLOBE NEWSWIRE) - Glacier Bancorp, Inc. (NYSE: GBCI) reported net income of $104.6 million for the current quarter, an increase of $6.7 million, or 7 percent, from the prior quarter net income of $97.9 million and an increase of $36.7 million, or 54 percent, from the prior year third quarter net income of $67.9 million. Diluted earnings per share for the current quarter was $0.80, an increase of $0.05 per share, or 7 percent, from the prior quarter diluted earnings per share of $0.75 and an increase of $0.23 per share, or 40 percent, from the prior year third quarter diluted earnings per share of $0.57. Operating diluted earnings per share for the current quarter was $0.81, an increase of $0.05 per share, or 7 percent, from the prior quarter operating diluted earnings per share of $0.76 and an increase of $0.19 per share, or 31 percent, from the prior year third quarter operating diluted earnings per share of $0.62. The current quarter included $1.9 million of compensation from acquisition-related employment agreements and $844 thousand of gains from the sale of former branch facilities and disposal of fixed assets. “Our strong third quarter results clearly demonstrate the power of the Glacier franchise,” said Randy Chesler, President and Chief Executive Officer. “We generated record net income, expanded margin for the eleventh consecutive quarter, increased deposits and delivered solid loan growth. We are well positioned to return to our historical levels of performance as continued balance sheet repricing drives improved profitability and the Glacier franchise continues to grow.”</w:t>
      </w:r>
    </w:p>
    <w:p>
      <w:pPr>
        <w:pStyle w:val="TextBody"/>
        <w:bidi w:val="0"/>
        <w:spacing w:before="0" w:after="0"/>
        <w:jc w:val="both"/>
        <w:rPr/>
      </w:pPr>
      <w:r>
        <w:rPr/>
      </w:r>
    </w:p>
    <w:p>
      <w:pPr>
        <w:pStyle w:val="TextBody"/>
        <w:bidi w:val="0"/>
        <w:spacing w:lineRule="auto" w:line="268" w:before="12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Net income for the first nine months of 2026 was $285 million, an increase of $110 million, or 63 percent, from the prior year first nine months net income of $175 million which was driven primarily by the increase in net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68" w:before="120" w:after="283"/>
        <w:jc w:val="both"/>
        <w:rPr>
          <w:rFonts w:ascii="Times New Roman;serif" w:hAnsi="Times New Roman;serif"/>
          <w:b w:val="false"/>
          <w:color w:val="000000"/>
          <w:sz w:val="24"/>
        </w:rPr>
      </w:pPr>
      <w:r>
        <w:rPr>
          <w:rFonts w:ascii="Times New Roman;serif" w:hAnsi="Times New Roman;serif"/>
          <w:b w:val="false"/>
          <w:color w:val="000000"/>
          <w:sz w:val="24"/>
        </w:rPr>
        <w:t>interest income from the improvement in the net interest margin. Diluted earnings per share for the first nine months of 2026 was $2.18, an increase of $0.67 per share, or 44 percent, from the prior year first nine months diluted earnings per share of $1.51. Operating diluted earnings per share for the first nine months of 2026 was $2.26, an increase of $0.59 per share, or 35 percent, from the prior year first nine months of 2025 operating diluted earnings per share of $1.67.</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Asset Summary</w:t>
      </w:r>
    </w:p>
    <w:tbl>
      <w:tblPr>
        <w:tblW w:w="10453" w:type="dxa"/>
        <w:jc w:val="left"/>
        <w:tblInd w:w="0" w:type="dxa"/>
        <w:tblLayout w:type="fixed"/>
        <w:tblCellMar>
          <w:top w:w="28" w:type="dxa"/>
          <w:left w:w="28" w:type="dxa"/>
          <w:bottom w:w="28" w:type="dxa"/>
          <w:right w:w="28" w:type="dxa"/>
        </w:tblCellMar>
      </w:tblPr>
      <w:tblGrid>
        <w:gridCol w:w="487"/>
        <w:gridCol w:w="244"/>
        <w:gridCol w:w="245"/>
        <w:gridCol w:w="196"/>
        <w:gridCol w:w="961"/>
        <w:gridCol w:w="109"/>
        <w:gridCol w:w="109"/>
        <w:gridCol w:w="109"/>
        <w:gridCol w:w="109"/>
        <w:gridCol w:w="479"/>
        <w:gridCol w:w="482"/>
        <w:gridCol w:w="156"/>
        <w:gridCol w:w="109"/>
        <w:gridCol w:w="109"/>
        <w:gridCol w:w="109"/>
        <w:gridCol w:w="479"/>
        <w:gridCol w:w="482"/>
        <w:gridCol w:w="156"/>
        <w:gridCol w:w="109"/>
        <w:gridCol w:w="109"/>
        <w:gridCol w:w="109"/>
        <w:gridCol w:w="479"/>
        <w:gridCol w:w="482"/>
        <w:gridCol w:w="156"/>
        <w:gridCol w:w="109"/>
        <w:gridCol w:w="109"/>
        <w:gridCol w:w="109"/>
        <w:gridCol w:w="375"/>
        <w:gridCol w:w="376"/>
        <w:gridCol w:w="156"/>
        <w:gridCol w:w="109"/>
        <w:gridCol w:w="109"/>
        <w:gridCol w:w="109"/>
        <w:gridCol w:w="375"/>
        <w:gridCol w:w="376"/>
        <w:gridCol w:w="156"/>
        <w:gridCol w:w="109"/>
        <w:gridCol w:w="109"/>
        <w:gridCol w:w="109"/>
        <w:gridCol w:w="434"/>
        <w:gridCol w:w="437"/>
        <w:gridCol w:w="213"/>
      </w:tblGrid>
      <w:tr>
        <w:trPr/>
        <w:tc>
          <w:tcPr>
            <w:tcW w:w="48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Change from</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2025</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 and cash equivalents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1,506,781 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1,056,679 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1,235,261 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854,244 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450,102 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271,520 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652,537 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Debt securities, available-for-sale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3,595,063 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3,482,725 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4,007,512 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3,916,189 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112,338 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(412,449)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(321,126)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Debt securities, held-to-maturity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2,817,933 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3,004,758 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3,110,216 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3,155,901 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(186,825)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(292,283)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(337,968)</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debt securities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6,412,996 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6,487,483 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7,117,728 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7,072,090 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(74,487)</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(704,732)</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(659,094)</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Loans receivable </w:t>
            </w:r>
            <w:r>
              <w:rPr>
                <w:rFonts w:ascii="Arial Narrow;sans-serif" w:hAnsi="Arial Narrow;sans-serif"/>
                <w:b w:val="false"/>
                <w:color w:val="000000"/>
                <w:sz w:val="13"/>
              </w:rPr>
              <w:t>1</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Residential real estate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2,104,815 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2,111,683 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2,457,907 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1,926,448 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(353,092)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178,367 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 real estate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14,432,233 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14,155,059 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13,565,512 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12,045,446 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277,174 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866,721 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2,386,787 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commercial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3,613,414 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3,615,240 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3,497,829 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3,451,177 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115,585 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162,237 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Home equity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1,050,852 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1,054,110 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977,206 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980,472 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73,646 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70,380 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consumer</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418,216 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427,631 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429,342 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387,443 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30,773 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Loans receivable</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21,619,530 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21,363,723 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20,927,796 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18,790,986 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255,807 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691,734 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2,828,544 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Allowance for credit losses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(259,668)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(260,025)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(255,319)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(229,077)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(30,591)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Loans receivable, net</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21,359,862 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21,103,698 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20,672,477 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18,561,909 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256,164 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687,385 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2,797,953 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assets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3,011,165 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2,951,141 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2,952,597 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2,527,384 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60,024 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58,568 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483,781 </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32,290,804 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31,599,001 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31,978,063 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29,015,627 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691,803 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312,741 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3,275,177 </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1     </w:t>
      </w:r>
      <w:r>
        <w:rPr>
          <w:rFonts w:ascii="Arial Narrow;sans-serif" w:hAnsi="Arial Narrow;sans-serif"/>
          <w:b w:val="false"/>
          <w:color w:val="000000"/>
          <w:sz w:val="18"/>
        </w:rPr>
        <w:t xml:space="preserve">In connection with the Guaranty core system conversion, Guaranty loans were reclassified in the first quarter to conform to the Company’s classifications. There were approximately $236 million of loans reclassified from residential loans into other categories, the majority of which were reclassified to commercial real estate loans. </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Total debt securities of $6.413 billion at September 30, 2026, decreased $74.5 million, or 1 percent, during the current quarter and decreased $659 million, or 9 percent, from the prior year third quarter. The Company selectively purchased debt securities during the current quarter with the Company’s excess liquidity position. Debt securities represented 20 percent of total assets at September 30, 2026, compared to 21 percent at June 30, 2026, and 24 percent at September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loan portfolio of $21.620 billion at September 30, 2026, increased $256 million, or 5 percent annualized, from the prior quarter. The loan portfolio increased $2.829 billion, or 15 percent, from the prior year third quarter. Excluding the Guaranty acquisition on October 1, 2025, the loan portfolio increased $726 million, or 4 percent, from the prior year third quarter.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Credit Quality Summary</w:t>
      </w:r>
    </w:p>
    <w:tbl>
      <w:tblPr>
        <w:tblW w:w="10205" w:type="dxa"/>
        <w:jc w:val="left"/>
        <w:tblInd w:w="0" w:type="dxa"/>
        <w:tblLayout w:type="fixed"/>
        <w:tblCellMar>
          <w:top w:w="28" w:type="dxa"/>
          <w:left w:w="28" w:type="dxa"/>
          <w:bottom w:w="28" w:type="dxa"/>
          <w:right w:w="28" w:type="dxa"/>
        </w:tblCellMar>
      </w:tblPr>
      <w:tblGrid>
        <w:gridCol w:w="1196"/>
        <w:gridCol w:w="822"/>
        <w:gridCol w:w="826"/>
        <w:gridCol w:w="285"/>
        <w:gridCol w:w="1070"/>
        <w:gridCol w:w="350"/>
        <w:gridCol w:w="109"/>
        <w:gridCol w:w="109"/>
        <w:gridCol w:w="109"/>
        <w:gridCol w:w="538"/>
        <w:gridCol w:w="345"/>
        <w:gridCol w:w="710"/>
        <w:gridCol w:w="109"/>
        <w:gridCol w:w="109"/>
        <w:gridCol w:w="109"/>
        <w:gridCol w:w="438"/>
        <w:gridCol w:w="358"/>
        <w:gridCol w:w="585"/>
        <w:gridCol w:w="109"/>
        <w:gridCol w:w="109"/>
        <w:gridCol w:w="109"/>
        <w:gridCol w:w="528"/>
        <w:gridCol w:w="346"/>
        <w:gridCol w:w="827"/>
      </w:tblGrid>
      <w:tr>
        <w:trPr/>
        <w:tc>
          <w:tcPr>
            <w:tcW w:w="119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2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At or for the 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At or 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At or for the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At or for the Nine Months ended</w:t>
            </w:r>
          </w:p>
        </w:tc>
      </w:tr>
      <w:tr>
        <w:trPr/>
        <w:tc>
          <w:tcPr>
            <w:tcW w:w="2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2025</w:t>
            </w:r>
          </w:p>
        </w:tc>
      </w:tr>
      <w:tr>
        <w:trPr/>
        <w:tc>
          <w:tcPr>
            <w:tcW w:w="2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Allowance for credit losses</w:t>
            </w:r>
          </w:p>
        </w:tc>
        <w:tc>
          <w:tcPr>
            <w:tcW w:w="17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at beginning of period</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255,319 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255,319 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206,041 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206,041 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Acquisitions</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Provision for credit losses</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19,282 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13,639 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61,846 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29,355 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Charge-offs</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(18,578)</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(11,562)</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(18,682)</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(11,276)</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Recoveries</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3,645 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2,629 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5,960 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4,922 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at end of period</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259,668 </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260,025 </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255,319 </w:t>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229,077 </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Provision for credit losses</w:t>
            </w:r>
          </w:p>
        </w:tc>
        <w:tc>
          <w:tcPr>
            <w:tcW w:w="17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Loan portfolio</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19,282 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13,639 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61,846 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29,355 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Unfunded loan commitments</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(1,754)</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(1,220)</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9,554 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6,382 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provision for credit losses</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17,528 </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12,419 </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71,400 </w:t>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35,737 </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real estate owned</w:t>
            </w:r>
          </w:p>
        </w:tc>
        <w:tc>
          <w:tcPr>
            <w:tcW w:w="28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7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4,882 </w:t>
            </w:r>
          </w:p>
        </w:tc>
        <w:tc>
          <w:tcPr>
            <w:tcW w:w="35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1,219 </w:t>
            </w:r>
          </w:p>
        </w:tc>
        <w:tc>
          <w:tcPr>
            <w:tcW w:w="7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284 </w:t>
            </w:r>
          </w:p>
        </w:tc>
        <w:tc>
          <w:tcPr>
            <w:tcW w:w="58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1,376 </w:t>
            </w:r>
          </w:p>
        </w:tc>
        <w:tc>
          <w:tcPr>
            <w:tcW w:w="82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foreclosed assets</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338 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Accruing loans 90 days or more past due</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17,219 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15,867 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5,997 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7,449 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Non-accrual loans</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68,202 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74,441 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62,487 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45,450 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non-performing assets</w:t>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90,641 </w:t>
            </w:r>
          </w:p>
        </w:tc>
        <w:tc>
          <w:tcPr>
            <w:tcW w:w="3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91,849 </w:t>
            </w:r>
          </w:p>
        </w:tc>
        <w:tc>
          <w:tcPr>
            <w:tcW w:w="7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68,895 </w:t>
            </w:r>
          </w:p>
        </w:tc>
        <w:tc>
          <w:tcPr>
            <w:tcW w:w="5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54,312 </w:t>
            </w:r>
          </w:p>
        </w:tc>
        <w:tc>
          <w:tcPr>
            <w:tcW w:w="8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Non-performing assets as a percentage of subsidiary assets</w:t>
            </w:r>
          </w:p>
        </w:tc>
        <w:tc>
          <w:tcPr>
            <w:tcW w:w="135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0.28 </w:t>
            </w:r>
          </w:p>
        </w:tc>
        <w:tc>
          <w:tcPr>
            <w:tcW w:w="35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0.29 </w:t>
            </w:r>
          </w:p>
        </w:tc>
        <w:tc>
          <w:tcPr>
            <w:tcW w:w="71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0.22 </w:t>
            </w:r>
          </w:p>
        </w:tc>
        <w:tc>
          <w:tcPr>
            <w:tcW w:w="58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0.19 </w:t>
            </w:r>
          </w:p>
        </w:tc>
        <w:tc>
          <w:tcPr>
            <w:tcW w:w="82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Allowance for credit losses as a percentage of non-performing loans</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304 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288 </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433 </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Allowance for credit losses as a percentage of total loans</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charge-offs as a percentage of total loans</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0.07 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0.04 </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0.06 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0.03 </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Accruing loans 30-89 days past due</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58,149 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65,483 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78,826 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39,524 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U.S. government guarantees included in non-performing assets</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4,657 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7,497 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8,733 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10,358 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Early stage delinquencies (accruing loans 30-89 days past due) of $58.1 million at September 30, 2026, decreased $7.3 million from the prior quarter and increased $18.6 million from the prior year third quarter. Early stage delinquencies as a percentage of loans at September 30, 2026, were 0.27 percent compared to 0.31 percent for the prior quarter and 0.21 percent for the prior year third quarter. Non-performing assets of $90.6 million at September 30, 2026, decreased $1.2 million, or 1 percent, over the prior quarter and increased $36.3 million, or 67 percent, over the prior year third quarter.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current quarter provision for credit loss expense of $5.1 million included $5.6 million of credit loss expense on loans and $534 thousand of credit loss benefit on unfunded loan commitments. The allowance for credit losses (“ACL”) on loans as a percentage of total loans outstanding was 1.20 percent at September 30, 2026, compared to 1.22 percent at each of June 30, 2026, December 31, 2025, and September 30, 2025. Loan portfolio growth, composition, credit quality considerations, economic forecasts, actual results, and other environmental factors will continue to determine the level of the ACL on loans.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Credit Quality Trends and Provision for Credit Losses on the Loan Portfolio</w:t>
      </w:r>
    </w:p>
    <w:tbl>
      <w:tblPr>
        <w:tblW w:w="10205" w:type="dxa"/>
        <w:jc w:val="left"/>
        <w:tblInd w:w="0" w:type="dxa"/>
        <w:tblLayout w:type="fixed"/>
        <w:tblCellMar>
          <w:top w:w="28" w:type="dxa"/>
          <w:left w:w="28" w:type="dxa"/>
          <w:bottom w:w="28" w:type="dxa"/>
          <w:right w:w="28" w:type="dxa"/>
        </w:tblCellMar>
      </w:tblPr>
      <w:tblGrid>
        <w:gridCol w:w="589"/>
        <w:gridCol w:w="519"/>
        <w:gridCol w:w="521"/>
        <w:gridCol w:w="564"/>
        <w:gridCol w:w="1601"/>
        <w:gridCol w:w="313"/>
        <w:gridCol w:w="109"/>
        <w:gridCol w:w="109"/>
        <w:gridCol w:w="109"/>
        <w:gridCol w:w="292"/>
        <w:gridCol w:w="830"/>
        <w:gridCol w:w="164"/>
        <w:gridCol w:w="109"/>
        <w:gridCol w:w="109"/>
        <w:gridCol w:w="109"/>
        <w:gridCol w:w="238"/>
        <w:gridCol w:w="238"/>
        <w:gridCol w:w="530"/>
        <w:gridCol w:w="109"/>
        <w:gridCol w:w="109"/>
        <w:gridCol w:w="109"/>
        <w:gridCol w:w="281"/>
        <w:gridCol w:w="281"/>
        <w:gridCol w:w="624"/>
        <w:gridCol w:w="109"/>
        <w:gridCol w:w="109"/>
        <w:gridCol w:w="109"/>
        <w:gridCol w:w="282"/>
        <w:gridCol w:w="282"/>
        <w:gridCol w:w="748"/>
      </w:tblGrid>
      <w:tr>
        <w:trPr/>
        <w:tc>
          <w:tcPr>
            <w:tcW w:w="58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2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Provision for Credit Losses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Net 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ACL</w:t>
              <w:br/>
              <w:t>as a Percent</w:t>
              <w:br/>
              <w:t>of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Accruing</w:t>
              <w:br/>
              <w:t>Loans 30-89</w:t>
              <w:br/>
              <w:t>Days Past Due</w:t>
              <w:br/>
              <w:t>as a Percent of</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Non-Performing</w:t>
              <w:br/>
              <w:t>Assets to</w:t>
              <w:br/>
              <w:t>Total Subsidiary</w:t>
              <w:br/>
              <w:t>Assets</w:t>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Third quarter 2026</w:t>
            </w:r>
          </w:p>
        </w:tc>
        <w:tc>
          <w:tcPr>
            <w:tcW w:w="5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5,643 </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1.20 </w:t>
            </w:r>
          </w:p>
        </w:tc>
        <w:tc>
          <w:tcPr>
            <w:tcW w:w="5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0.27 </w:t>
            </w:r>
          </w:p>
        </w:tc>
        <w:tc>
          <w:tcPr>
            <w:tcW w:w="6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0.28 </w:t>
            </w:r>
          </w:p>
        </w:tc>
        <w:tc>
          <w:tcPr>
            <w:tcW w:w="7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Second quarter 2026</w:t>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10,125 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5,871 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0.31 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0.29 </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First quarter 2026</w:t>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3,514 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3,062 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0.44 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0.25 </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Fourth quarter 2025</w:t>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32,491 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6,368 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0.38 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0.22 </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Third quarter 2025</w:t>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5,192 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0.21 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0.19 </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Second quarter 2025</w:t>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18,009 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0.29 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0.17 </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First quarter 2025</w:t>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6,154 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0.27 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0.14 </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Fourth quarter 2024</w:t>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6,041 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5,170 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0.19 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0.10 </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Net charge-offs for the current quarter were $6.0 million compared to $5.9 million in the prior quarter and $2.9 million for the prior year third quarter. The current quarter net charge-offs included $3.5 million in deposit overdraft net charge-offs and $2.5 million of net loan charge-offs.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Supplemental information regarding credit quality and identification of the Company’s loan portfolio based on the regulatory classification of loans is provided in the tables at the end of this press release. The regulatory classification of loans is based primarily on collateral type while the Company’s loan segments presented herein are based on the purpose of the loan.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Liability Summary</w:t>
      </w:r>
    </w:p>
    <w:tbl>
      <w:tblPr>
        <w:tblW w:w="10543" w:type="dxa"/>
        <w:jc w:val="left"/>
        <w:tblInd w:w="0" w:type="dxa"/>
        <w:tblLayout w:type="fixed"/>
        <w:tblCellMar>
          <w:top w:w="28" w:type="dxa"/>
          <w:left w:w="28" w:type="dxa"/>
          <w:bottom w:w="28" w:type="dxa"/>
          <w:right w:w="28" w:type="dxa"/>
        </w:tblCellMar>
      </w:tblPr>
      <w:tblGrid>
        <w:gridCol w:w="592"/>
        <w:gridCol w:w="244"/>
        <w:gridCol w:w="245"/>
        <w:gridCol w:w="196"/>
        <w:gridCol w:w="961"/>
        <w:gridCol w:w="109"/>
        <w:gridCol w:w="109"/>
        <w:gridCol w:w="109"/>
        <w:gridCol w:w="109"/>
        <w:gridCol w:w="479"/>
        <w:gridCol w:w="482"/>
        <w:gridCol w:w="156"/>
        <w:gridCol w:w="109"/>
        <w:gridCol w:w="109"/>
        <w:gridCol w:w="109"/>
        <w:gridCol w:w="479"/>
        <w:gridCol w:w="482"/>
        <w:gridCol w:w="156"/>
        <w:gridCol w:w="109"/>
        <w:gridCol w:w="109"/>
        <w:gridCol w:w="109"/>
        <w:gridCol w:w="479"/>
        <w:gridCol w:w="482"/>
        <w:gridCol w:w="156"/>
        <w:gridCol w:w="109"/>
        <w:gridCol w:w="109"/>
        <w:gridCol w:w="109"/>
        <w:gridCol w:w="368"/>
        <w:gridCol w:w="368"/>
        <w:gridCol w:w="156"/>
        <w:gridCol w:w="109"/>
        <w:gridCol w:w="109"/>
        <w:gridCol w:w="109"/>
        <w:gridCol w:w="375"/>
        <w:gridCol w:w="376"/>
        <w:gridCol w:w="156"/>
        <w:gridCol w:w="109"/>
        <w:gridCol w:w="109"/>
        <w:gridCol w:w="109"/>
        <w:gridCol w:w="435"/>
        <w:gridCol w:w="436"/>
        <w:gridCol w:w="213"/>
      </w:tblGrid>
      <w:tr>
        <w:trPr/>
        <w:tc>
          <w:tcPr>
            <w:tcW w:w="59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Change from</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2025</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Deposits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Non-interest bearing 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7,702,429 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7,423,439 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7,314,779 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6,674,441 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278,990 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387,650 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1,027,988 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NOW and DDA accounts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6,139,924 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6,192,363 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6,236,551 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5,805,816 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(52,439)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(96,627)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334,108 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Savings accounts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3,225,270 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3,169,141 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3,158,939 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3,049,753 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66,331 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175,517 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Money market deposit accounts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4,458,524 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4,132,820 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3,948,201 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3,137,810 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325,704 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510,323 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1,320,714 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Certificate accounts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3,743,285 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3,732,971 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3,928,550 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3,199,825 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(185,265)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543,460 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Core deposits, total</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25,269,432 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24,650,734 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24,587,020 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21,867,645 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618,698 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682,412 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3,401,787 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Wholesale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Deposits, total</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25,272,737 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24,654,117 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24,591,096 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21,870,949 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618,620 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681,641 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3,401,788 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Repurchase agreements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1,954,925 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1,952,501 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2,084,113 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2,004,286 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(129,188)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(49,361)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Deposits and repurchase agreements, total</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27,227,662 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26,606,618 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26,675,209 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23,875,235 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621,044 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552,453 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3,352,427 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Federal Home Loan Bank advances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895,022 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(440,000)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(895,022)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borrowed funds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52,880 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51,473 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59,779 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(8,035)</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Finance lease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31,606 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28,808 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12,158 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Subordinated debentures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174,113 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188,573 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187,492 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157,379 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(13,379)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16,734 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466,865 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406,302 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381,260 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401,523 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60,563 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85,605 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65,342 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27,950,943 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27,285,979 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27,764,242 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25,407,339 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664,964 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186,701 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2,543,604 </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jc w:val="both"/>
        <w:rPr>
          <w:rFonts w:ascii="Times New Roman;serif" w:hAnsi="Times New Roman;serif"/>
          <w:b w:val="false"/>
          <w:color w:val="000000"/>
          <w:sz w:val="24"/>
        </w:rPr>
      </w:pPr>
      <w:r>
        <w:rPr>
          <w:rFonts w:ascii="Times New Roman;serif" w:hAnsi="Times New Roman;serif"/>
          <w:b w:val="false"/>
          <w:color w:val="000000"/>
          <w:sz w:val="24"/>
        </w:rPr>
        <w:t xml:space="preserve">Total deposits of $25.273 billion at September 30, 2026, increased $619 million, or 10 percent annualized, during the current quarter and increased $3.402 billion, or 16 percent, from the prior year third quarter.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Excluding a temporary quarter-end deposit expected to largely exit in the fourth quarter, total deposits increased $308 million, or 5 percent annualized, from the prior quarter. Excluding the Guaranty acquisition, total deposits increased $695 million, or 3 percent, from the prior year third quarter.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Non-interest bearing deposits of $7.702 billion at September 30, 2026, increased $279 million, or 15 percent annualized, during the current quarter and increased $1.028 billion, or 15 percent, from the prior year third quarter. Excluding the impact of the temporary quarter-end deposit, non-interest bearing deposits increased $197 million, or 11 percent annualized, from the prior quarter. Non-interest bearing deposits represented 30 percent of total deposits at each of September 30, 2026, and June 30, 2026, compared to 31 percent at September 30, 2025.</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Stockholders’ Equity Summary</w:t>
      </w:r>
    </w:p>
    <w:tbl>
      <w:tblPr>
        <w:tblW w:w="10205" w:type="dxa"/>
        <w:jc w:val="left"/>
        <w:tblInd w:w="0" w:type="dxa"/>
        <w:tblLayout w:type="fixed"/>
        <w:tblCellMar>
          <w:top w:w="28" w:type="dxa"/>
          <w:left w:w="28" w:type="dxa"/>
          <w:bottom w:w="28" w:type="dxa"/>
          <w:right w:w="28" w:type="dxa"/>
        </w:tblCellMar>
      </w:tblPr>
      <w:tblGrid>
        <w:gridCol w:w="679"/>
        <w:gridCol w:w="273"/>
        <w:gridCol w:w="276"/>
        <w:gridCol w:w="196"/>
        <w:gridCol w:w="871"/>
        <w:gridCol w:w="109"/>
        <w:gridCol w:w="109"/>
        <w:gridCol w:w="109"/>
        <w:gridCol w:w="109"/>
        <w:gridCol w:w="443"/>
        <w:gridCol w:w="445"/>
        <w:gridCol w:w="159"/>
        <w:gridCol w:w="109"/>
        <w:gridCol w:w="109"/>
        <w:gridCol w:w="109"/>
        <w:gridCol w:w="443"/>
        <w:gridCol w:w="445"/>
        <w:gridCol w:w="159"/>
        <w:gridCol w:w="109"/>
        <w:gridCol w:w="109"/>
        <w:gridCol w:w="109"/>
        <w:gridCol w:w="443"/>
        <w:gridCol w:w="445"/>
        <w:gridCol w:w="159"/>
        <w:gridCol w:w="109"/>
        <w:gridCol w:w="109"/>
        <w:gridCol w:w="109"/>
        <w:gridCol w:w="331"/>
        <w:gridCol w:w="332"/>
        <w:gridCol w:w="159"/>
        <w:gridCol w:w="109"/>
        <w:gridCol w:w="109"/>
        <w:gridCol w:w="109"/>
        <w:gridCol w:w="368"/>
        <w:gridCol w:w="368"/>
        <w:gridCol w:w="159"/>
        <w:gridCol w:w="109"/>
        <w:gridCol w:w="109"/>
        <w:gridCol w:w="109"/>
        <w:gridCol w:w="376"/>
        <w:gridCol w:w="377"/>
        <w:gridCol w:w="228"/>
      </w:tblGrid>
      <w:tr>
        <w:trPr/>
        <w:tc>
          <w:tcPr>
            <w:tcW w:w="67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Change from</w:t>
            </w:r>
          </w:p>
        </w:tc>
      </w:tr>
      <w:tr>
        <w:trPr/>
        <w:tc>
          <w:tcPr>
            <w:tcW w:w="1228"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 except per share data)</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2025</w:t>
            </w:r>
          </w:p>
        </w:tc>
      </w:tr>
      <w:tr>
        <w:trPr/>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Common equity</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4,546,197 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4,484,316 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4,380,931 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3,801,178 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61,881 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165,266 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745,019 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(171,294)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(167,110)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(192,890)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(35,042)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(39,226)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(13,446)</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Total stockholders’ equity</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4,339,861 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4,313,022 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4,213,821 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3,608,288 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26,839 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126,040 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731,573 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Goodwill and intangibles,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(1,469,156)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(1,473,954)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(1,483,552)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(1,182,536)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4,798 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(286,620)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 Narrow;sans-serif" w:hAnsi="Arial Narrow;sans-serif"/>
                <w:b w:val="false"/>
                <w:color w:val="000000"/>
                <w:sz w:val="20"/>
              </w:rPr>
              <w:t xml:space="preserve">Tangible stockholders’ equity (non-GAAP) </w:t>
            </w:r>
            <w:r>
              <w:rPr>
                <w:rFonts w:ascii="Arial Narrow;sans-serif" w:hAnsi="Arial Narrow;sans-serif"/>
                <w:b w:val="false"/>
                <w:color w:val="000000"/>
                <w:sz w:val="13"/>
              </w:rPr>
              <w:t>1</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2,870,705 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2,839,068 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2,730,269 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2,425,752 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31,637 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140,436 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444,953 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17"/>
        <w:gridCol w:w="984"/>
        <w:gridCol w:w="987"/>
        <w:gridCol w:w="196"/>
        <w:gridCol w:w="556"/>
        <w:gridCol w:w="241"/>
        <w:gridCol w:w="109"/>
        <w:gridCol w:w="109"/>
        <w:gridCol w:w="109"/>
        <w:gridCol w:w="278"/>
        <w:gridCol w:w="278"/>
        <w:gridCol w:w="241"/>
        <w:gridCol w:w="109"/>
        <w:gridCol w:w="109"/>
        <w:gridCol w:w="109"/>
        <w:gridCol w:w="278"/>
        <w:gridCol w:w="278"/>
        <w:gridCol w:w="241"/>
        <w:gridCol w:w="109"/>
        <w:gridCol w:w="109"/>
        <w:gridCol w:w="109"/>
        <w:gridCol w:w="278"/>
        <w:gridCol w:w="278"/>
        <w:gridCol w:w="241"/>
        <w:gridCol w:w="109"/>
        <w:gridCol w:w="109"/>
        <w:gridCol w:w="109"/>
        <w:gridCol w:w="233"/>
        <w:gridCol w:w="233"/>
        <w:gridCol w:w="109"/>
        <w:gridCol w:w="109"/>
        <w:gridCol w:w="109"/>
        <w:gridCol w:w="109"/>
        <w:gridCol w:w="233"/>
        <w:gridCol w:w="233"/>
        <w:gridCol w:w="109"/>
        <w:gridCol w:w="109"/>
        <w:gridCol w:w="109"/>
        <w:gridCol w:w="109"/>
        <w:gridCol w:w="233"/>
        <w:gridCol w:w="233"/>
        <w:gridCol w:w="155"/>
      </w:tblGrid>
      <w:tr>
        <w:trPr/>
        <w:tc>
          <w:tcPr>
            <w:tcW w:w="111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88"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Stockholders’ equity to total assets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13.44 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13.65 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13.18 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12.44 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 Narrow;sans-serif" w:hAnsi="Arial Narrow;sans-serif"/>
                <w:b w:val="false"/>
                <w:color w:val="000000"/>
                <w:sz w:val="20"/>
              </w:rPr>
              <w:t xml:space="preserve">Tangible stockholders’ equity to total tangible assets (non-GAAP) </w:t>
            </w:r>
            <w:r>
              <w:rPr>
                <w:rFonts w:ascii="Arial Narrow;sans-serif" w:hAnsi="Arial Narrow;sans-serif"/>
                <w:b w:val="false"/>
                <w:color w:val="000000"/>
                <w:sz w:val="13"/>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Book value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 Narrow;sans-serif" w:hAnsi="Arial Narrow;sans-serif"/>
                <w:b w:val="false"/>
                <w:color w:val="000000"/>
                <w:sz w:val="20"/>
              </w:rPr>
              <w:t xml:space="preserve">Tangible book value per common share (non-GAAP) </w:t>
            </w:r>
            <w:r>
              <w:rPr>
                <w:rFonts w:ascii="Arial Narrow;sans-serif" w:hAnsi="Arial Narrow;sans-serif"/>
                <w:b w:val="false"/>
                <w:color w:val="000000"/>
                <w:sz w:val="13"/>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Represents a non-GAAP financial measure. Supplemental “Non-GAAP Financial Measures and Reconciliations” tables are provided to reconcile the most directly comparable financial measure calculated and presented in accordance with GAAP.</w:t>
      </w:r>
    </w:p>
    <w:p>
      <w:pPr>
        <w:pStyle w:val="TextBody"/>
        <w:bidi w:val="0"/>
        <w:spacing w:before="0" w:after="0"/>
        <w:ind w:left="0" w:right="0" w:hanging="180"/>
        <w:jc w:val="both"/>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Tangible stockholders’ equity of $2.871 billion at September 30, 2026, increased $31.6 million, or 1 percent, compared to the prior quarter, primarily due to earnings retention. Tangible stockholders’ equity increased $445 million, or 18 percent, from the prior year third quarter, primarily due to $560 million of Company stock issued in connection with the Guaranty acquisition and earnings retention. The increase was partially offset by the increase in goodwill and core deposit intangible associated with the Guaranty acquisition. Tangible book value per common share of $22.05 at the current quarter end increased $0.24 per share, or 1 percent, from the prior quarter and increased $1.59 per share, or 8 percent, from the prior year third quarter.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Cash Dividends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On September 22, 2026, the Company’s Board of Directors declared a quarterly cash dividend of $0.35 per share, an increase of $0.02, or 6 percent, over the prior quarter. The dividend was payable on October 15, 2026, to shareholders of record on October 6, 2026. The dividend was the Company’s 166th consecutive regular dividend. Future cash dividends will depend on a variety of factors, including net income, capital, asset quality, general economic conditions and regulatory considerations.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Operating Results for Three Months Ended September 30, 2026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Compared to June 30, 2026, March 31, 2026, and September 30, 2025</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Income Summary</w:t>
      </w:r>
    </w:p>
    <w:tbl>
      <w:tblPr>
        <w:tblW w:w="10205" w:type="dxa"/>
        <w:jc w:val="left"/>
        <w:tblInd w:w="0" w:type="dxa"/>
        <w:tblLayout w:type="fixed"/>
        <w:tblCellMar>
          <w:top w:w="28" w:type="dxa"/>
          <w:left w:w="28" w:type="dxa"/>
          <w:bottom w:w="28" w:type="dxa"/>
          <w:right w:w="28" w:type="dxa"/>
        </w:tblCellMar>
      </w:tblPr>
      <w:tblGrid>
        <w:gridCol w:w="788"/>
        <w:gridCol w:w="310"/>
        <w:gridCol w:w="312"/>
        <w:gridCol w:w="196"/>
        <w:gridCol w:w="736"/>
        <w:gridCol w:w="241"/>
        <w:gridCol w:w="109"/>
        <w:gridCol w:w="109"/>
        <w:gridCol w:w="109"/>
        <w:gridCol w:w="368"/>
        <w:gridCol w:w="368"/>
        <w:gridCol w:w="251"/>
        <w:gridCol w:w="109"/>
        <w:gridCol w:w="109"/>
        <w:gridCol w:w="109"/>
        <w:gridCol w:w="368"/>
        <w:gridCol w:w="368"/>
        <w:gridCol w:w="252"/>
        <w:gridCol w:w="109"/>
        <w:gridCol w:w="109"/>
        <w:gridCol w:w="109"/>
        <w:gridCol w:w="368"/>
        <w:gridCol w:w="368"/>
        <w:gridCol w:w="252"/>
        <w:gridCol w:w="109"/>
        <w:gridCol w:w="109"/>
        <w:gridCol w:w="109"/>
        <w:gridCol w:w="109"/>
        <w:gridCol w:w="109"/>
        <w:gridCol w:w="323"/>
        <w:gridCol w:w="323"/>
        <w:gridCol w:w="159"/>
        <w:gridCol w:w="109"/>
        <w:gridCol w:w="109"/>
        <w:gridCol w:w="109"/>
        <w:gridCol w:w="323"/>
        <w:gridCol w:w="323"/>
        <w:gridCol w:w="160"/>
        <w:gridCol w:w="109"/>
        <w:gridCol w:w="109"/>
        <w:gridCol w:w="109"/>
        <w:gridCol w:w="323"/>
        <w:gridCol w:w="323"/>
        <w:gridCol w:w="222"/>
      </w:tblGrid>
      <w:tr>
        <w:trPr/>
        <w:tc>
          <w:tcPr>
            <w:tcW w:w="78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Three Months ended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Change from</w:t>
            </w:r>
          </w:p>
        </w:tc>
        <w:tc>
          <w:tcPr>
            <w:tcW w:w="1195" w:type="dxa"/>
            <w:gridSpan w:val="6"/>
            <w:tcBorders/>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2025</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income</w:t>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379,980 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365,220 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362,337 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325,003 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17,643 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54,977 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90,084 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88,792 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93,660 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99,624 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(3,576)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(9,540)</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net interest income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289,896 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276,428 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268,677 </w:t>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225,379 </w:t>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13,468 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21,219 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64,517 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Non-interest income</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Deposit service charges and other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17,187 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16,351 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15,265 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14,676 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2,511 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12,012 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11,368 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10,951 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Miscellaneous loan fees and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2,279 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Gain on sale of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5,108 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5,027 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(273)</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5,173 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4,062 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2,693 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non-interest income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39,941 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41,101 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38,082 </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35,352 </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(1,160)</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1,859 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4,589 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income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329,837 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317,529 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306,759 </w:t>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260,731 </w:t>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12,308 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23,078 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69,106 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Net interest margin (tax-equivalent)</w:t>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4.01 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3.90 </w:t>
            </w:r>
          </w:p>
        </w:tc>
        <w:tc>
          <w:tcPr>
            <w:tcW w:w="25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3.80 </w:t>
            </w:r>
          </w:p>
        </w:tc>
        <w:tc>
          <w:tcPr>
            <w:tcW w:w="25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3.39 </w:t>
            </w:r>
          </w:p>
        </w:tc>
        <w:tc>
          <w:tcPr>
            <w:tcW w:w="25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Core net interest margin (tax-equivalent) (non-GAAP) </w:t>
            </w:r>
            <w:r>
              <w:rPr>
                <w:rFonts w:ascii="Arial Narrow;sans-serif" w:hAnsi="Arial Narrow;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3.86 </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3.73 </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3.35 </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0" w:type="dxa"/>
            <w:gridSpan w:val="18"/>
            <w:tcBorders/>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Represents a non-GAAP financial measure. Supplemental “Non-GAAP Financial Measures and Reconciliations” tables are provided to reconcile the most directly comparable financial measure calculated and presented in accordance with GAAP.</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Net Interest Income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Net interest income of $290 million for the current quarter increased $13.5 million, or 5 percent, from the prior quarter net interest income of $276 million and increased $64.5 million, or 29 percent, from the prior year third quarter net interest income of $225 million. The current quarter interest income of $380 million increased $14.8 million, or 4 percent, over the prior quarter and increased $55.0 million, or 17 percent, over the prior year third quarter and was primarily driven by both increased loans and increased interest rates on the loan portfolio. The loan yield of 6.22 percent in the current quarter increased 10 basis points from the prior quarter loan yield of 6.12 percent and increased 25 basis points from the prior year third quarter loan yield of 5.97 percent.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current quarter interest expense of $90.1 million increased $1.3 million, or 1 percent, from the prior quarter. Interest expense decreased $9.5 million, or 10 percent, from the prior year third quarter primarily due to a decrease in interest rates on deposits and a decrease in high cost borrowings. Core deposit cost (including non-interest bearing deposits) decreased to 1.17 percent in the current quarter compared to 1.18 percent in the prior quarter and 1.23 percent in the prior year third quarter. The total funding cost (including non-interest bearing deposits) decreased to 1.32 percent in the current quarter compared to 1.33 percent in the prior quarter and 1.58 percent in the prior year third quarter.</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4"/>
        </w:rPr>
      </w:pPr>
      <w:r>
        <w:rPr>
          <w:rFonts w:ascii="Times New Roman;serif" w:hAnsi="Times New Roman;serif"/>
          <w:b w:val="false"/>
          <w:color w:val="000000"/>
          <w:sz w:val="24"/>
        </w:rPr>
        <w:t xml:space="preserve">The net interest margin as a percentage of earning assets, on a tax-equivalent basis, for the current quarter was 4.01 percent, an increase of 11 basis points from the prior quarter net interest margin of 3.90 percent and was primarily driven by an increase in earning asset yields and a decrease in deposit costs. The net interest margin as a percentage of earning assets, on a tax-equivalent basis, for the current quarter increased 62 basis points from the prior year third quarter net interest margin of 3.39 percent and was primarily driven by the increase in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loan yields, the shift in the earning assets mix to higher yielding loans and the decrease in high cost borrowings. Core net interest margin was 3.95 percent in the current quarter compared to 3.86 percent in the prior quarter and 3.35 percent in the prior year third quarter. “The increase in both the net interest income and net interest margin during the current quarter reflects the continued increase in earning assets at higher yields combined with the increase in core deposits at lower costs (including non-interest bearing deposits),” said Ron Copher, Chief Financial Officer. “Over the last eleven consecutive quarters, net interest income has increased from $166 million to $290 million, or 75 percent, with the net interest margin increasing from 2.56 percent to 4.01 percent, or 57 percent.”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Non-interest Income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Non-interest income for the current quarter totaled $39.9 million, which was a decrease of $1.2 million, or 3 percent, over the prior quarter. Non-interest income increased $4.6 million, or 13 percent, over the prior year third quarter. Deposit service charges and other fees of $17.2 million for the current quarter increased $836 thousand, or 5 percent, compared to the prior quarter and increased $2.5 million, or 17 percent, from the prior year third quarter. Payment services of $12.1 million for the current quarter increased $69 thousand, or 1 percent, from the prior quarter and increased $1.1 million, or 10 percent, over the prior year third quarter.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Non-interest Expense Summary</w:t>
      </w:r>
    </w:p>
    <w:tbl>
      <w:tblPr>
        <w:tblW w:w="10205" w:type="dxa"/>
        <w:jc w:val="left"/>
        <w:tblInd w:w="0" w:type="dxa"/>
        <w:tblLayout w:type="fixed"/>
        <w:tblCellMar>
          <w:top w:w="28" w:type="dxa"/>
          <w:left w:w="28" w:type="dxa"/>
          <w:bottom w:w="28" w:type="dxa"/>
          <w:right w:w="28" w:type="dxa"/>
        </w:tblCellMar>
      </w:tblPr>
      <w:tblGrid>
        <w:gridCol w:w="734"/>
        <w:gridCol w:w="575"/>
        <w:gridCol w:w="484"/>
        <w:gridCol w:w="196"/>
        <w:gridCol w:w="736"/>
        <w:gridCol w:w="109"/>
        <w:gridCol w:w="109"/>
        <w:gridCol w:w="109"/>
        <w:gridCol w:w="109"/>
        <w:gridCol w:w="368"/>
        <w:gridCol w:w="368"/>
        <w:gridCol w:w="171"/>
        <w:gridCol w:w="109"/>
        <w:gridCol w:w="109"/>
        <w:gridCol w:w="109"/>
        <w:gridCol w:w="368"/>
        <w:gridCol w:w="368"/>
        <w:gridCol w:w="174"/>
        <w:gridCol w:w="109"/>
        <w:gridCol w:w="109"/>
        <w:gridCol w:w="109"/>
        <w:gridCol w:w="368"/>
        <w:gridCol w:w="368"/>
        <w:gridCol w:w="174"/>
        <w:gridCol w:w="109"/>
        <w:gridCol w:w="109"/>
        <w:gridCol w:w="109"/>
        <w:gridCol w:w="109"/>
        <w:gridCol w:w="109"/>
        <w:gridCol w:w="278"/>
        <w:gridCol w:w="278"/>
        <w:gridCol w:w="171"/>
        <w:gridCol w:w="109"/>
        <w:gridCol w:w="109"/>
        <w:gridCol w:w="109"/>
        <w:gridCol w:w="337"/>
        <w:gridCol w:w="340"/>
        <w:gridCol w:w="174"/>
        <w:gridCol w:w="109"/>
        <w:gridCol w:w="109"/>
        <w:gridCol w:w="109"/>
        <w:gridCol w:w="323"/>
        <w:gridCol w:w="323"/>
        <w:gridCol w:w="240"/>
      </w:tblGrid>
      <w:tr>
        <w:trPr/>
        <w:tc>
          <w:tcPr>
            <w:tcW w:w="73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Three Months ended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Change from</w:t>
            </w:r>
          </w:p>
        </w:tc>
        <w:tc>
          <w:tcPr>
            <w:tcW w:w="1213" w:type="dxa"/>
            <w:gridSpan w:val="6"/>
            <w:tcBorders/>
          </w:tcPr>
          <w:p>
            <w:pPr>
              <w:pStyle w:val="TableContents"/>
              <w:bidi w:val="0"/>
              <w:spacing w:before="0" w:after="283"/>
              <w:jc w:val="left"/>
              <w:rPr>
                <w:sz w:val="4"/>
                <w:szCs w:val="4"/>
              </w:rPr>
            </w:pPr>
            <w:r>
              <w:rPr>
                <w:sz w:val="4"/>
                <w:szCs w:val="4"/>
              </w:rPr>
            </w:r>
          </w:p>
        </w:tc>
      </w:tr>
      <w:tr>
        <w:trPr/>
        <w:tc>
          <w:tcPr>
            <w:tcW w:w="1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2025</w:t>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Compensation and employee benefits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120,661 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116,299 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115,770 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96,498 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4,362 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4,891 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24,163 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Occupancy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15,661 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15,682 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13,236 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2,836 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Advertising and promotions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5,092 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5,256 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4,620 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Data processing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12,380 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13,273 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10,634 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real estate owned and foreclosed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Regulatory assessments and 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5,506 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6,403 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5,799 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(745)</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Intangibles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4,799 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4,799 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26,880 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39,140 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33,120 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(11,264)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(5,244)</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non-interest expense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191,884 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186,700 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200,529 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167,783 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5,184 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(8,645)</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24,101 </w:t>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5" w:type="dxa"/>
            <w:gridSpan w:val="18"/>
            <w:tcBorders/>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Total non-interest expense of $192 million for the current quarter increased $5.2 million, or 3 percent, over the prior quarter. Total non-interest expense increased $24.1 million, or 14 percent, over the prior year third quarter and was primarily driven by increased costs from the acquired banks.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Compensation and employee benefits of $121 million for the current quarter increased by $4.4 million, or 4 percent, over the prior quarter, primarily due to increased performance-based compensation. Compensation and employee benefits increased $24.2 million, or 25 percent, from the prior year third quarter and was primarily driven by annual salary increases and increases in staffing levels from the acquired banks. Other expenses of $27.9 million decreased $5.2 million, or 16 percent, from the prior year third quarter and was primarily driven by $6.9 million of decreased acquisition-related expenses.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Acquisition-related expense was $92 thousand in the current quarter compared to $1.6 million in the prior quarter and $7.0 million in the prior year third quarter. In addition, compensation and employee benefits included $1.9 million of expense attributable to acquisition-related employment agreements in the current quarter compared to $2.5 million in the prior quarter and $641 thousand in the prior year third quarter.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Federal and State Income Tax Expense</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Tax expense during the third quarter of 2026 was $28.3 million, an increase of $1.7 million, or 6 percent, compared to the prior quarter and an increase of $10.9 million, or 63 percent, from the prior year third quarter. The effective tax rate in the current quarter was 21.3 percent, compared to 21.4 percent in the prior quarter and 20.4 percent in the prior year third quarter. The higher tax expense and higher effective tax rate in the current quarter compared to the prior year third quarter was primarily due to an increase in pre-tax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Efficiency Ratio</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efficiency ratio was 56.08 percent in the current quarter compared to 56.65 percent in the prior quarter and 62.05 percent in the prior year third quarter. The decrease from the prior quarter and prior year third quarter was primarily driven by an increase in net interest income which outpaced the increase in non-interest expense.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Operating Results for Nine Months. Ended September 30, 2026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Compared to September 30, 2025</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Income Summary</w:t>
      </w:r>
    </w:p>
    <w:tbl>
      <w:tblPr>
        <w:tblW w:w="9454" w:type="dxa"/>
        <w:jc w:val="left"/>
        <w:tblInd w:w="0" w:type="dxa"/>
        <w:tblLayout w:type="fixed"/>
        <w:tblCellMar>
          <w:top w:w="28" w:type="dxa"/>
          <w:left w:w="28" w:type="dxa"/>
          <w:bottom w:w="28" w:type="dxa"/>
          <w:right w:w="28" w:type="dxa"/>
        </w:tblCellMar>
      </w:tblPr>
      <w:tblGrid>
        <w:gridCol w:w="1463"/>
        <w:gridCol w:w="1290"/>
        <w:gridCol w:w="1297"/>
        <w:gridCol w:w="196"/>
        <w:gridCol w:w="871"/>
        <w:gridCol w:w="241"/>
        <w:gridCol w:w="109"/>
        <w:gridCol w:w="109"/>
        <w:gridCol w:w="109"/>
        <w:gridCol w:w="196"/>
        <w:gridCol w:w="736"/>
        <w:gridCol w:w="241"/>
        <w:gridCol w:w="109"/>
        <w:gridCol w:w="109"/>
        <w:gridCol w:w="109"/>
        <w:gridCol w:w="196"/>
        <w:gridCol w:w="736"/>
        <w:gridCol w:w="109"/>
        <w:gridCol w:w="109"/>
        <w:gridCol w:w="109"/>
        <w:gridCol w:w="109"/>
        <w:gridCol w:w="194"/>
        <w:gridCol w:w="194"/>
        <w:gridCol w:w="513"/>
      </w:tblGrid>
      <w:tr>
        <w:trPr/>
        <w:tc>
          <w:tcPr>
            <w:tcW w:w="146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Change</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income</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1,107,537 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923,043 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272,536 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300,069 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net interest income</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835,001 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622,974 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212,027 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Non-interest income</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Deposit service charges and other fees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48,803 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41,801 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35,461 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30,736 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Miscellaneous loan fees and charges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Gain on sale of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non-interest income</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119,124 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100,938 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18,186 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Income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954,125 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723,912 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230,213 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margin (tax-equivalent)</w:t>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3.90 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3.21 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Core net interest margin (tax-equivalent) (non-GAAP) </w:t>
            </w:r>
            <w:r>
              <w:rPr>
                <w:rFonts w:ascii="Arial Narrow;sans-serif" w:hAnsi="Arial Narrow;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Represents a non-GAAP financial measure. Supplemental “Non-GAAP Financial Measures and Reconciliations” tables are provided to reconcile the most directly comparable financial measure calculated and presented in accordance with GAAP.</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Net Interest Income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Net interest income of $835 million for the first nine months of 2026 increased $212 million, or 34 percent, from the first nine months of the prior year and was primarily driven by increased interest income and decreased interest expense. Interest income of $1.108 billion for the first nine months of 2026 increased $184 million, or 20 percent, from the prior year and was primarily attributable to the increase in the loan portfolio and an increase in loan yields. The loan yield was 6.17 percent during the first nine months of 2026, an increase of 30 basis points from the prior year first nine months loan yield of 5.87 percent.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Interest expense of $273 million for the first nine months of 2026 decreased $27.5 million, or 9 percent, over the same period in the prior year and was primarily the result of lower interest rates on deposits and a decrease in higher cost borrowings. Core deposit cost (including non-interest bearing deposits) was 1.18 percent for the first nine months of 2026, which was a decrease of 6 basis points over the first nine months of the prior year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core deposit cost of 1.24 percent. The total funding cost (including non-interest bearing deposits) for the first nine months of 2026 was 1.35 percent, which was a decrease of 28 basis points over the first nine months of the prior year funding cost of 1.63 percent.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net interest margin as a percentage of earning assets, on a tax-equivalent basis, during the first nine months of 2026 was 3.90 percent, a 69 basis points increase from the net interest margin of 3.21 percent for the first nine months of the prior year. Core net interest margin during the first nine months of 2026 was 3.85 percent compared to 3.17 percent in the prior year first nine months. The increase in net interest margin from the prior year was primarily driven by a 30 basis points increase in loan yields and a 28 basis points decrease in total funding costs, combined with a shift in earning asset mix to higher yielding loans and a shift in funding liabilities to lower cost deposits.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Non-interest Income</w:t>
      </w:r>
      <w:r>
        <w:rPr>
          <w:color w:val="000000"/>
        </w:rPr>
        <w:t xml:space="preserv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Non-interest income of $119 million for the first nine months of 2026 increased $18.2 million, or 18 percent, over the first nine months of the prior year and was primarily driven by increased income from the acquired banks. Deposit service charges and other fees of $48.8 million for the first nine months of 2026 increased $7.0 million, or 17 percent, over the first nine months of the prior year. Payment services of $35.5 million for the first nine months of 2026 increased by $4.7 million, or 15 percent, over the first nine months of the prior year.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Non-interest Expense Summary</w:t>
      </w:r>
    </w:p>
    <w:tbl>
      <w:tblPr>
        <w:tblW w:w="8473" w:type="dxa"/>
        <w:jc w:val="left"/>
        <w:tblInd w:w="0" w:type="dxa"/>
        <w:tblLayout w:type="fixed"/>
        <w:tblCellMar>
          <w:top w:w="28" w:type="dxa"/>
          <w:left w:w="28" w:type="dxa"/>
          <w:bottom w:w="28" w:type="dxa"/>
          <w:right w:w="28" w:type="dxa"/>
        </w:tblCellMar>
      </w:tblPr>
      <w:tblGrid>
        <w:gridCol w:w="1242"/>
        <w:gridCol w:w="1094"/>
        <w:gridCol w:w="109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10"/>
        <w:gridCol w:w="211"/>
        <w:gridCol w:w="513"/>
      </w:tblGrid>
      <w:tr>
        <w:trPr/>
        <w:tc>
          <w:tcPr>
            <w:tcW w:w="1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Change</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Compensation and employee benefits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352,730 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282,296 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70,434 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25 </w:t>
            </w:r>
          </w:p>
        </w:tc>
        <w:tc>
          <w:tcPr>
            <w:tcW w:w="5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Occupancy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Advertising and promotions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Data processing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real estate owned and foreclosed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Regulatory assessments and 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Core deposit intangibles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non-interest expense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579,113 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474,220 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104,893 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Total non-interest expense of $579 million for the first nine months of 2026 increased $105 million, or 22 percent, over the first nine months of the prior year and was primarily driven by increased costs from the acquired banks. Compensation and employee benefits expense of $353 million in the first nine months of 2026 increased $70.4 million, or 25 percent, over the first nine months of the prior year and was primarily driven by annual salary increases and staffing increases from acquisitions. Occupancy and equipment expense of $47.4 million in the first nine months of 2026 increased $9.3 million, or 24 percent, over the first nine months of the prior year primarily due to increased costs from the acquired banks. Data processing expense of $37.9 million in the first nine months of 2026 increased $8.2 million, or 28 percent, over the first nine months of the prior year primarily due to increased costs from the acquired banks. Other expenses of $93.9 million for the first nine months of 2026 increased $10.9 million, or 13 percent, from the first nine months of the prior year and was primarily driven by an increase in costs from acquisitions.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Acquisition-related expense was $10.6 million in the first nine months of the current year compared to $10.8 million in the prior year first nine months. In addition, compensation and employee benefits included $7.1 million of expense attributable to acquisition-related employment agreements in the first nine months of the current year compared to $1.4 million in the first nine months of the prior year.</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Provision for Credit Losses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provision for credit loss expense was $17.5 million for the first nine months of 2026, a decrease of $18.2 million, or 51 percent, over the same period in the prior year. Included in the first nine months of the prior year provision for credit losses was $16.7 million from the acquisition of Bank of Idaho Holding Co. and its subsidiary, Bank of Idaho. Net charge-offs for the first nine months of 2026 were $14.9 million compared to $6.4 million in the first nine months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Federal and State Income Tax Expense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Tax expense of $72.9 million for the first nine months of 2026 increased $34.2 million, or 88 percent, over the same period in the prior year. The effective tax rate for the first nine months of 2026 was 20.4 percent compared to 18.1 percent for the same period in the prior year. The increases in tax expense and the effective tax rate were primarily the result of an increase in the pre-tax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Efficiency Ratio</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efficiency ratio was 58.51 percent for the first nine months of 2026 compared to 63.12 percent for the same period of 2025. The decrease from the prior year was primarily attributable to the increase in net interest income that outpaced the increase in non-interest expense.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color w:val="000000"/>
          <w:sz w:val="24"/>
          <w:u w:val="single"/>
        </w:rPr>
        <w:t>Forward-Looking Statements</w:t>
      </w:r>
      <w:r>
        <w:rPr>
          <w:color w:val="000000"/>
        </w:rPr>
        <w:t xml:space="preserv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news release may contain forward-looking statements within the meaning of the Private Securities Litigation Reform Act of 1995. These forward-looking statements include, but are not limited to, statements about the Company’s plans, objectives, expectations and intentions that are not historical facts, and other statements identified by words such as “expects,” “anticipates,” “will,” “intends,” “plans,” “believes,” “should,” “projects,” “seeks,” “estimates” or other comparable words or phrases of a future or forward-looking nature. These forward-looking statements are based on current beliefs and expectations of management and are inherently subject to significant business, economic and competitive uncertainties and contingencies, many of which are beyond the Company’s control. In addition, these forward-looking statements are based on assumptions that are subject to change. The following factors, among others, could cause actual results to differ materially from the anticipated results (express or implied) or other expectations in the forward-looking statements, including those made in this news release: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risks associated with lending and potential adverse changes in the credit quality of the Company’s loan portfolio;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changes in monetary and fiscal policies, including interest rate policies of the Federal Reserve Board, which could adversely affect the Company’s net interest income and margin, the fair value of its financial instruments, profitability, and stockholders’ equity;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legislative or regulatory changes, including the possibility of increases in FDIC insurance rates and assessments, changes in the review and regulation of bank mergers, or increases or changes in banking and consumer protection regulations, that may adversely affect the Company’s business and strategies;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risks related to overall economic conditions, including the impact on the economy of an uncertain interest rate environment, inflationary pressures, recently passed legislation and the potential for significant additional changes in economic and trade policies in the current administration;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risks to the Company’s business and the business of the Company’s customers arising from current or future tariffs or other trade restrictions, labor or supply chain issues, change in labor force, or geopolitical instability, including the wars in Iran and Ukraine, further conflicts in the Middle East, and potential for future conflicts or disruptions in other parts of the world;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risks associated with the Company’s ability to negotiate, complete, and successfully integrate acquisitions;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impairment of the goodwill recorded by the Company in connection with acquisitions, which may have an adverse impact on earnings and capital;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reduction in demand for banking products and services, whether as a result of changes in customer behavior, economic conditions, banking environment, or competition;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deterioration of the reputation of banks and the financial services industry, which could adversely affect the Company's ability to obtain and maintain customers;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changes in the competitive landscape, including as may result from new market entrants, additional competition from internet-based financial institutions operating nationally, or further consolidation in the financial services industry, resulting in increased competition, including the creation of larger competitors with greater financial resources;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risks presented by public stock market volatility, which could adversely affect the market price of the Company’s common stock and the ability to raise additional capital or grow through acquisitions;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risks related to rapidly evolving artificial intelligence technologies;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risks associated with dependence on the Chief Executive Officer, the senior management team and the Presidents of Glacier Bank’s divisions;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 xml:space="preserve">material failure, potential interruption or breach in security of the Company’s systems or changes in technology which could expose the Company to cybersecurity risks, fraud, system failures, or direct liabilities; </w:t>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4"/>
        </w:rPr>
        <w:t>risks related to natural disasters, including droughts, fires, floods, earthquakes, pandemics, and other unexpected events;</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success in managing risks involved in any of the foregoing;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effects of any reputational damage to the Company resulting from any of the foregoing.</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Company does not undertake any obligation to publicly correct or update any forward-looking statement if it later becomes aware that actual results are likely to differ materially from those expressed in such forward-looking statement.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Conference Call Information</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 conference call for investors is scheduled for 11:00 a.m. Eastern Time on Friday, October 23, 2026. Please note that our conference call host no longer offers a general dial-in number. Investors who would like to join the call may now register by following this link to obtain dial-in instructions: https://register-conf.media-server.com/register/BIf897ad06750d4ea68674bf70f03fbe10. To participate via the webcast, log on to: https://edge.media-server.com/mmc/p/xhafbtnc.</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About Glacier Bancorp, Inc.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Glacier Bancorp, Inc. (NYSE: GBCI), a member of the Russell 2000® and the S&amp;P MidCap 400® indices, is the parent company for Glacier Bank and its Bank divisions located across its nine state footprint: Altabank (American Fork, UT), Bank of the San Juans (Durango, CO), Citizens Community Bank (Pocatello, ID), Collegiate Peaks Bank (Buena Vista, CO), First Bank of Montana (Lewistown, MT), First Bank of Wyoming (Powell, WY), First Community Bank Utah (Layton, UT), First Security Bank (Bozeman, MT), First Security Bank of Missoula (Missoula, MT), First State Bank (Wheatland, WY), Glacier Bank (Kalispell, MT), Guaranty Bank &amp; Trust (Mount Pleasant, TX), Heritage Bank of Nevada (Reno, NV), Mountain West Bank (Coeur d’Alene, ID), The Foothills Bank (Yuma, AZ), Valley Bank (Helena, MT), Western Security Bank (Billings, MT), and Wheatland Bank (Spokane, WA).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Non-GAAP Financial Measures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Certain financial measures and ratios the Company presents are supplemental measures that are not required by, or are not presented in accordance with, U.S. generally accepted accounting principles (GAAP). The Company refers to these financial measures and ratios as “non-GAAP financial measures.” A reconciliation of non-GAAP financial measures to the comparable GAAP financial measures is provided in the tables within this press release. The Company considers the use of select non-GAAP financial measures and ratios to be useful for financial and operational decision making and in evaluating period-to-period comparisons. The Company believes that these non-GAAP financial measures provide meaningful supplemental information regarding the Company’s performance by excluding certain income, expense, or intangible items that the Company believes are not indicative of its primary business operating results.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These non-GAAP financial measures should not be considered a substitute for financial information presented in accordance with GAAP and investors should not rely on non-GAAP financial measures alone as measures of our performance. The non-GAAP financial measures presented may differ from non-GAAP financial measures used by the Company’s peers or other companies. The Company compensates for these differences by providing the equivalent GAAP measures whenever the Company presents the non-GAAP financial measures and by including a reconciliation of the impact of the components adjusted for in the non-GAAP financial measure so that both measures and the individual components may be considered when analyzing our performance.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Unaudited Condensed Consolidated Statements of Financial Condition</w:t>
      </w:r>
    </w:p>
    <w:tbl>
      <w:tblPr>
        <w:tblW w:w="10205" w:type="dxa"/>
        <w:jc w:val="center"/>
        <w:tblInd w:w="0" w:type="dxa"/>
        <w:tblLayout w:type="fixed"/>
        <w:tblCellMar>
          <w:top w:w="28" w:type="dxa"/>
          <w:left w:w="28" w:type="dxa"/>
          <w:bottom w:w="28" w:type="dxa"/>
          <w:right w:w="28" w:type="dxa"/>
        </w:tblCellMar>
      </w:tblPr>
      <w:tblGrid>
        <w:gridCol w:w="1734"/>
        <w:gridCol w:w="1352"/>
        <w:gridCol w:w="1358"/>
        <w:gridCol w:w="196"/>
        <w:gridCol w:w="961"/>
        <w:gridCol w:w="109"/>
        <w:gridCol w:w="109"/>
        <w:gridCol w:w="109"/>
        <w:gridCol w:w="109"/>
        <w:gridCol w:w="479"/>
        <w:gridCol w:w="482"/>
        <w:gridCol w:w="184"/>
        <w:gridCol w:w="109"/>
        <w:gridCol w:w="109"/>
        <w:gridCol w:w="109"/>
        <w:gridCol w:w="479"/>
        <w:gridCol w:w="482"/>
        <w:gridCol w:w="189"/>
        <w:gridCol w:w="109"/>
        <w:gridCol w:w="109"/>
        <w:gridCol w:w="109"/>
        <w:gridCol w:w="479"/>
        <w:gridCol w:w="482"/>
        <w:gridCol w:w="258"/>
      </w:tblGrid>
      <w:tr>
        <w:trPr/>
        <w:tc>
          <w:tcPr>
            <w:tcW w:w="173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 except per share data)</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2025</w:t>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 on hand and in banks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353,748 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321,526 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312,506 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bearing cash deposits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1,216,141 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702,931 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913,735 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541,738 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 and cash equivalents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1,506,781 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1,056,679 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1,235,261 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854,244 </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Debt securities, available-for-sale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3,595,063 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3,482,725 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4,007,512 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3,916,189 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Debt securities, held-to-maturity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2,817,933 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3,004,758 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3,110,216 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3,155,901 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debt securities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6,412,996 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6,487,483 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7,117,728 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7,072,090 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Loans held for sale, at fair value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45,145 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39,186 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42,668 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Loans receivable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21,619,530 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21,363,723 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20,927,796 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18,790,986 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Allowance for credit losses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(259,668)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(260,025)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(255,319)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(229,077)</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Loans receivable, net</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21,359,862 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21,103,698 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20,672,477 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18,561,909 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Premises and equipment,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497,590 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493,497 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486,184 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427,271 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Right-of-use assets,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76,428 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75,574 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54,502 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real estate owned and foreclosed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interest receivable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120,254 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120,092 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120,257 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tax asset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102,902 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101,337 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99,702 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Intangibles,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95,671 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105,269 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61,135 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1,378,283 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1,378,283 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1,378,283 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1,121,401 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Federal Home Loan Bank stock, at cost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21,244 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42,764 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61,362 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Bank-owned life insurance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235,984 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235,090 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191,996 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421,864 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380,192 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368,407 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345,677 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32,290,804 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31,599,001 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31,978,063 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29,015,627 </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Non-interest bearing 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7,702,429 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7,423,439 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7,314,779 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6,674,441 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bearing deposits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17,570,308 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17,230,678 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17,276,317 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15,196,508 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Securities sold under agreements to repurchase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1,954,925 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1,952,501 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2,084,113 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2,004,286 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FHLB advances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440,000 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895,022 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borrowed funds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52,880 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51,473 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59,779 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Finance lease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31,606 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28,808 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18,401 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Subordinated debentures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174,113 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188,573 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187,492 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157,379 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interest payable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29,542 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32,786 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27,733 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51,320 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52,869 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41,367 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383,955 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325,440 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295,605 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332,423 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27,950,943 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27,285,979 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27,764,242 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25,407,339 </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Commitments and Contingent Liabilities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Stockholders’ Equity</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Preferred shares, $0.01 par value per share, 1,000,000 shares authorized, none issued or outstanding</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Common stock, $0.01 par value per share, 234,000,000 shares authorized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Paid-in capital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3,232,684 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3,229,635 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3,220,064 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2,657,469 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Retained earnings - substantially restricted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1,253,379 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1,159,567 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1,142,523 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Accumulated other comprehensive loss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(171,294)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(167,110)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(192,890)</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stockholders’ equity</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4,339,861 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4,313,022 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4,213,821 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3,608,288 </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 and stockholders’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32,290,804 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31,599,001 </w:t>
            </w:r>
          </w:p>
        </w:tc>
        <w:tc>
          <w:tcPr>
            <w:tcW w:w="1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31,978,063 </w:t>
            </w:r>
          </w:p>
        </w:tc>
        <w:tc>
          <w:tcPr>
            <w:tcW w:w="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29,015,627 </w:t>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Unaudited Condensed Consolidated Statements of Operations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90"/>
        <w:gridCol w:w="416"/>
        <w:gridCol w:w="417"/>
        <w:gridCol w:w="214"/>
        <w:gridCol w:w="805"/>
        <w:gridCol w:w="119"/>
        <w:gridCol w:w="109"/>
        <w:gridCol w:w="109"/>
        <w:gridCol w:w="109"/>
        <w:gridCol w:w="374"/>
        <w:gridCol w:w="364"/>
        <w:gridCol w:w="192"/>
        <w:gridCol w:w="109"/>
        <w:gridCol w:w="109"/>
        <w:gridCol w:w="109"/>
        <w:gridCol w:w="409"/>
        <w:gridCol w:w="342"/>
        <w:gridCol w:w="227"/>
        <w:gridCol w:w="109"/>
        <w:gridCol w:w="109"/>
        <w:gridCol w:w="109"/>
        <w:gridCol w:w="452"/>
        <w:gridCol w:w="341"/>
        <w:gridCol w:w="342"/>
        <w:gridCol w:w="109"/>
        <w:gridCol w:w="128"/>
        <w:gridCol w:w="128"/>
        <w:gridCol w:w="128"/>
        <w:gridCol w:w="128"/>
        <w:gridCol w:w="524"/>
        <w:gridCol w:w="379"/>
        <w:gridCol w:w="342"/>
        <w:gridCol w:w="109"/>
        <w:gridCol w:w="109"/>
        <w:gridCol w:w="109"/>
        <w:gridCol w:w="461"/>
        <w:gridCol w:w="313"/>
        <w:gridCol w:w="453"/>
      </w:tblGrid>
      <w:tr>
        <w:trPr/>
        <w:tc>
          <w:tcPr>
            <w:tcW w:w="79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Nine Months ended</w:t>
            </w:r>
          </w:p>
        </w:tc>
        <w:tc>
          <w:tcPr>
            <w:tcW w:w="1554" w:type="dxa"/>
            <w:gridSpan w:val="6"/>
            <w:tcBorders/>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1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September 30, 2025</w:t>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Interest Income</w:t>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Investment securities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44,964 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42,890 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45,126 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45,348 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132,980 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135,142 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Residential real estate loans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29,655 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30,104 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33,708 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26,335 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93,467 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75,971 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 loans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279,000 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266,123 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258,616 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228,363 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803,739 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640,567 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Consumer and other loans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26,103 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24,887 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24,957 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77,351 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71,363 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interest income</w:t>
            </w:r>
          </w:p>
        </w:tc>
        <w:tc>
          <w:tcPr>
            <w:tcW w:w="10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379,980 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365,220 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362,337 </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325,003 </w:t>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1,107,537 </w:t>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923,043 </w:t>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Interest Expense</w:t>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Deposits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72,861 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71,972 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72,251 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67,346 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217,084 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195,780 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Securities sold under agreements to repurchase</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13,227 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13,619 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14,706 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40,428 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42,548 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Federal Home Loan Bank advances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4,226 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14,271 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4,226 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52,796 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Other borrowed funds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385 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1,357 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1,187 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Subordinated debentures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3,138 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2,916 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9,441 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7,758 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interest expense</w:t>
            </w:r>
          </w:p>
        </w:tc>
        <w:tc>
          <w:tcPr>
            <w:tcW w:w="10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90,084 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88,792 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93,660 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99,624 </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272,536 </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300,069 </w:t>
            </w:r>
          </w:p>
        </w:tc>
        <w:tc>
          <w:tcPr>
            <w:tcW w:w="4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Interest Income</w:t>
            </w:r>
          </w:p>
        </w:tc>
        <w:tc>
          <w:tcPr>
            <w:tcW w:w="10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289,896 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276,428 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268,677 </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225,379 </w:t>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835,001 </w:t>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622,974 </w:t>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Provision for credit losses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5,109 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6,355 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6,064 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7,656 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17,528 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35,737 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Net interest income after provision for credit losses</w:t>
            </w:r>
          </w:p>
        </w:tc>
        <w:tc>
          <w:tcPr>
            <w:tcW w:w="10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284,787 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270,073 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262,613 </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217,723 </w:t>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817,473 </w:t>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587,237 </w:t>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Non-Interest Income</w:t>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Deposit service charges and other fees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17,187 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16,351 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15,265 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14,676 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48,803 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41,801 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 services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12,012 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11,368 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10,951 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35,461 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30,736 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Miscellaneous loan fees and charges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2,279 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2,005 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7,422 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5,586 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Gain on sale of loans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5,108 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5,027 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14,869 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13,611 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Gain (loss) on sale of securities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income</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5,173 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4,062 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2,693 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12,569 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9,204 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non-interest income</w:t>
            </w:r>
          </w:p>
        </w:tc>
        <w:tc>
          <w:tcPr>
            <w:tcW w:w="10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39,941 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41,101 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38,082 </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35,352 </w:t>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119,124 </w:t>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100,938 </w:t>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Non-Interest Expense</w:t>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Compensation and employee benefits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120,661 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116,299 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115,770 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96,498 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352,730 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282,296 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Occupancy and equipment</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15,661 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15,682 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13,236 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47,415 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38,088 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Advertising and promotions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5,092 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5,256 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4,620 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15,433 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13,158 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Data processing</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12,380 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13,273 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10,634 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37,893 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29,655 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real estate owned and foreclosed assets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387 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Regulatory assessments and insurance</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5,506 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6,403 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5,799 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16,963 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17,180 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Intangibles amortization</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4,799 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4,799 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3,813 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14,396 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10,707 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expenses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27,876 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26,880 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39,140 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33,120 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93,896 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82,984 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non-interest expense</w:t>
            </w:r>
          </w:p>
        </w:tc>
        <w:tc>
          <w:tcPr>
            <w:tcW w:w="10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191,884 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186,700 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200,529 </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167,783 </w:t>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579,113 </w:t>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474,220 </w:t>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Income Before Income Taxes</w:t>
            </w:r>
          </w:p>
        </w:tc>
        <w:tc>
          <w:tcPr>
            <w:tcW w:w="10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132,844 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124,474 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100,166 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85,292 </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357,484 </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213,955 </w:t>
            </w:r>
          </w:p>
        </w:tc>
        <w:tc>
          <w:tcPr>
            <w:tcW w:w="4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Federal and state income tax expense</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28,282 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26,612 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18,022 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17,392 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72,916 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38,706 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Income</w:t>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104,562 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97,862 </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82,144 </w:t>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67,900 </w:t>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284,568 </w:t>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175,249 </w:t>
            </w:r>
          </w:p>
        </w:tc>
        <w:tc>
          <w:tcPr>
            <w:tcW w:w="4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Non-GAAP Financial Measures and Reconciliations</w:t>
      </w:r>
    </w:p>
    <w:tbl>
      <w:tblPr>
        <w:tblW w:w="9481" w:type="dxa"/>
        <w:jc w:val="left"/>
        <w:tblInd w:w="0" w:type="dxa"/>
        <w:tblLayout w:type="fixed"/>
        <w:tblCellMar>
          <w:top w:w="28" w:type="dxa"/>
          <w:left w:w="28" w:type="dxa"/>
          <w:bottom w:w="28" w:type="dxa"/>
          <w:right w:w="28" w:type="dxa"/>
        </w:tblCellMar>
      </w:tblPr>
      <w:tblGrid>
        <w:gridCol w:w="1231"/>
        <w:gridCol w:w="1084"/>
        <w:gridCol w:w="1089"/>
        <w:gridCol w:w="196"/>
        <w:gridCol w:w="961"/>
        <w:gridCol w:w="241"/>
        <w:gridCol w:w="109"/>
        <w:gridCol w:w="109"/>
        <w:gridCol w:w="109"/>
        <w:gridCol w:w="249"/>
        <w:gridCol w:w="712"/>
        <w:gridCol w:w="251"/>
        <w:gridCol w:w="109"/>
        <w:gridCol w:w="109"/>
        <w:gridCol w:w="109"/>
        <w:gridCol w:w="249"/>
        <w:gridCol w:w="712"/>
        <w:gridCol w:w="258"/>
        <w:gridCol w:w="109"/>
        <w:gridCol w:w="109"/>
        <w:gridCol w:w="109"/>
        <w:gridCol w:w="249"/>
        <w:gridCol w:w="712"/>
        <w:gridCol w:w="306"/>
      </w:tblGrid>
      <w:tr>
        <w:trPr/>
        <w:tc>
          <w:tcPr>
            <w:tcW w:w="123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 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Tangible Equity</w:t>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Total stockholders’ equity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4,339,861 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4,313,022 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4,213,821 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3,608,288 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Less: goodwill and intangible assets,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(1,469,156)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(1,473,954)</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(1,483,552)</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(1,182,536)</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Tangible stockholders' equity (non-GAAP)</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2,870,705 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2,839,068 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2,730,269 </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2,425,752 </w:t>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Tangible Assets </w:t>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32,290,804 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31,599,001 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31,978,063 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29,015,627 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Less: goodwill and intangible assets,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(1,469,156)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(1,473,954)</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(1,483,552)</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(1,182,536)</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Tangible assets (non-GAAP)</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30,821,648 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30,125,047 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30,494,511 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27,833,091 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Tangible equity to tangible assets (non-GAAP)</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9.42 </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8.95 </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8.72 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Book value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33.13 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32.42 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30.44 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Tangible book value per share (non-GAAP)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21.81 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20.46 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26"/>
        <w:gridCol w:w="270"/>
        <w:gridCol w:w="271"/>
        <w:gridCol w:w="196"/>
        <w:gridCol w:w="961"/>
        <w:gridCol w:w="241"/>
        <w:gridCol w:w="109"/>
        <w:gridCol w:w="109"/>
        <w:gridCol w:w="109"/>
        <w:gridCol w:w="480"/>
        <w:gridCol w:w="481"/>
        <w:gridCol w:w="248"/>
        <w:gridCol w:w="109"/>
        <w:gridCol w:w="109"/>
        <w:gridCol w:w="109"/>
        <w:gridCol w:w="480"/>
        <w:gridCol w:w="481"/>
        <w:gridCol w:w="249"/>
        <w:gridCol w:w="109"/>
        <w:gridCol w:w="109"/>
        <w:gridCol w:w="109"/>
        <w:gridCol w:w="480"/>
        <w:gridCol w:w="481"/>
        <w:gridCol w:w="249"/>
        <w:gridCol w:w="109"/>
        <w:gridCol w:w="109"/>
        <w:gridCol w:w="109"/>
        <w:gridCol w:w="480"/>
        <w:gridCol w:w="481"/>
        <w:gridCol w:w="249"/>
        <w:gridCol w:w="111"/>
        <w:gridCol w:w="111"/>
        <w:gridCol w:w="111"/>
        <w:gridCol w:w="480"/>
        <w:gridCol w:w="481"/>
        <w:gridCol w:w="299"/>
      </w:tblGrid>
      <w:tr>
        <w:trPr/>
        <w:tc>
          <w:tcPr>
            <w:tcW w:w="52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8"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At or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At or for the Nine Months ended</w:t>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3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 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 2025</w:t>
            </w:r>
          </w:p>
        </w:tc>
      </w:tr>
      <w:tr>
        <w:trPr/>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Core Net Interest Margin</w:t>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Net interest income (tax equivalent) </w:t>
            </w:r>
            <w:r>
              <w:rPr>
                <w:rFonts w:ascii="Arial Narrow;sans-serif" w:hAnsi="Arial Narrow;sans-serif"/>
                <w:b w:val="false"/>
                <w:color w:val="000000"/>
                <w:sz w:val="13"/>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293,484 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280,016 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272,383 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228,835 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845,883 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633,317 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Purchase accounting</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(4,122)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(3,832)</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(5,140)</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(2,310)</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(13,095)</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(7,774)</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Non-accrual loan interest reversal (recovery)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825 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Core net interest income (tax equivalent) (non-GAAP)</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289,492 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277,009 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267,201 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226,421 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833,702 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625,643 </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Average earning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29,069,918 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28,793,343 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29,078,665 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26,815,927 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28,980,610 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26,353,065 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margin (tax equivalent)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3.90 </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3.80 </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3.39 </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3.90 </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3.21 </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Core net interest margin (tax equivalent) (non-GAAP)</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3.86 </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3.73 </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3.35 </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3.85 </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3.17 </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Includes tax effect of $3.6 million, $3.6 million $3.7 million and $3.5 million on tax-exempt municipal loan and lease income, tax-exempt debt securities income and federal income tax credits for the three months ended September 30, 2026, June 30, 2026, March 31, 2026, and September 30, 2025, respectively. Includes tax effect of $10.9 million and $10.3 million on tax-exempt municipal loan and lease income, tax-exempt debt securities income and federal income tax credits for the nine months ended September 30, 2026, and September 30, 2025, respectively.</w:t>
      </w:r>
    </w:p>
    <w:p>
      <w:pPr>
        <w:pStyle w:val="TextBody"/>
        <w:bidi w:val="0"/>
        <w:spacing w:before="0" w:after="0"/>
        <w:jc w:val="left"/>
        <w:rPr/>
      </w:pPr>
      <w:r>
        <w:rPr/>
      </w:r>
    </w:p>
    <w:p>
      <w:pPr>
        <w:pStyle w:val="TextBody"/>
        <w:bidi w:val="0"/>
        <w:ind w:left="0" w:right="0" w:firstLine="7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0"/>
        <w:ind w:left="0" w:right="0" w:firstLine="72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Non-GAAP Financial Measures and Reconciliations (continued)</w:t>
      </w:r>
    </w:p>
    <w:tbl>
      <w:tblPr>
        <w:tblW w:w="10205" w:type="dxa"/>
        <w:jc w:val="center"/>
        <w:tblInd w:w="0" w:type="dxa"/>
        <w:tblLayout w:type="fixed"/>
        <w:tblCellMar>
          <w:top w:w="28" w:type="dxa"/>
          <w:left w:w="28" w:type="dxa"/>
          <w:bottom w:w="28" w:type="dxa"/>
          <w:right w:w="28" w:type="dxa"/>
        </w:tblCellMar>
      </w:tblPr>
      <w:tblGrid>
        <w:gridCol w:w="961"/>
        <w:gridCol w:w="293"/>
        <w:gridCol w:w="294"/>
        <w:gridCol w:w="221"/>
        <w:gridCol w:w="830"/>
        <w:gridCol w:w="109"/>
        <w:gridCol w:w="109"/>
        <w:gridCol w:w="109"/>
        <w:gridCol w:w="109"/>
        <w:gridCol w:w="311"/>
        <w:gridCol w:w="740"/>
        <w:gridCol w:w="110"/>
        <w:gridCol w:w="109"/>
        <w:gridCol w:w="109"/>
        <w:gridCol w:w="109"/>
        <w:gridCol w:w="311"/>
        <w:gridCol w:w="740"/>
        <w:gridCol w:w="110"/>
        <w:gridCol w:w="109"/>
        <w:gridCol w:w="109"/>
        <w:gridCol w:w="109"/>
        <w:gridCol w:w="311"/>
        <w:gridCol w:w="740"/>
        <w:gridCol w:w="110"/>
        <w:gridCol w:w="109"/>
        <w:gridCol w:w="109"/>
        <w:gridCol w:w="109"/>
        <w:gridCol w:w="385"/>
        <w:gridCol w:w="666"/>
        <w:gridCol w:w="110"/>
        <w:gridCol w:w="110"/>
        <w:gridCol w:w="110"/>
        <w:gridCol w:w="110"/>
        <w:gridCol w:w="379"/>
        <w:gridCol w:w="672"/>
        <w:gridCol w:w="164"/>
      </w:tblGrid>
      <w:tr>
        <w:trPr/>
        <w:tc>
          <w:tcPr>
            <w:tcW w:w="96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At or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At or for the Nine Months ended</w:t>
            </w:r>
          </w:p>
        </w:tc>
      </w:tr>
      <w:tr>
        <w:trPr/>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 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 2025</w:t>
            </w:r>
          </w:p>
        </w:tc>
      </w:tr>
      <w:tr>
        <w:trPr/>
        <w:tc>
          <w:tcPr>
            <w:tcW w:w="1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Operating Diluted Earnings Per Share</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97,862 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82,144 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67,900 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284,568 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175,249 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Provision for credit losses - acquisition ACL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16,693 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adjustments - non-interest income</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BOLI proceeds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operating adjustments - non-interest income</w:t>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(776)</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(251)</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(839)</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(1,364)</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adjustments - non-interest expense</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Acquisition-related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Lease terminations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FDIC special assessment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(Gain) loss on fixed assets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(3,017)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(1,694)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Acquisition-related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10,793 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operating adjustments - non-interest expense</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12,240 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8,545 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14,795 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10,316 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Tax impact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(2,121)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(6,553)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operating adjustments</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8,436 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6,173 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10,309 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19,092 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net income (non-GAAP)</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105,406 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98,892 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90,580 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74,073 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294,877 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194,341 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diluted common shares outstanding</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130,433,235 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130,346,888 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130,242,765 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118,628,434 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130,324,260 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116,382,822 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Diluted EPS </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diluted EPS (non-GAAP)</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0"/>
        <w:ind w:left="0" w:right="0" w:firstLine="72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Non-GAAP Financial Measures and Reconciliations (continued)</w:t>
      </w:r>
    </w:p>
    <w:tbl>
      <w:tblPr>
        <w:tblW w:w="10205" w:type="dxa"/>
        <w:jc w:val="center"/>
        <w:tblInd w:w="0" w:type="dxa"/>
        <w:tblLayout w:type="fixed"/>
        <w:tblCellMar>
          <w:top w:w="28" w:type="dxa"/>
          <w:left w:w="28" w:type="dxa"/>
          <w:bottom w:w="28" w:type="dxa"/>
          <w:right w:w="28" w:type="dxa"/>
        </w:tblCellMar>
      </w:tblPr>
      <w:tblGrid>
        <w:gridCol w:w="520"/>
        <w:gridCol w:w="319"/>
        <w:gridCol w:w="321"/>
        <w:gridCol w:w="199"/>
        <w:gridCol w:w="749"/>
        <w:gridCol w:w="245"/>
        <w:gridCol w:w="109"/>
        <w:gridCol w:w="109"/>
        <w:gridCol w:w="109"/>
        <w:gridCol w:w="196"/>
        <w:gridCol w:w="736"/>
        <w:gridCol w:w="241"/>
        <w:gridCol w:w="109"/>
        <w:gridCol w:w="109"/>
        <w:gridCol w:w="109"/>
        <w:gridCol w:w="196"/>
        <w:gridCol w:w="737"/>
        <w:gridCol w:w="241"/>
        <w:gridCol w:w="109"/>
        <w:gridCol w:w="109"/>
        <w:gridCol w:w="109"/>
        <w:gridCol w:w="199"/>
        <w:gridCol w:w="749"/>
        <w:gridCol w:w="245"/>
        <w:gridCol w:w="109"/>
        <w:gridCol w:w="111"/>
        <w:gridCol w:w="111"/>
        <w:gridCol w:w="111"/>
        <w:gridCol w:w="111"/>
        <w:gridCol w:w="201"/>
        <w:gridCol w:w="755"/>
        <w:gridCol w:w="247"/>
        <w:gridCol w:w="109"/>
        <w:gridCol w:w="109"/>
        <w:gridCol w:w="109"/>
        <w:gridCol w:w="199"/>
        <w:gridCol w:w="748"/>
        <w:gridCol w:w="301"/>
      </w:tblGrid>
      <w:tr>
        <w:trPr/>
        <w:tc>
          <w:tcPr>
            <w:tcW w:w="52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At or for the 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At or for the Nine Months ended</w:t>
            </w:r>
          </w:p>
        </w:tc>
        <w:tc>
          <w:tcPr>
            <w:tcW w:w="1575" w:type="dxa"/>
            <w:gridSpan w:val="6"/>
            <w:tcBorders/>
          </w:tcPr>
          <w:p>
            <w:pPr>
              <w:pStyle w:val="TableContents"/>
              <w:bidi w:val="0"/>
              <w:spacing w:before="0" w:after="283"/>
              <w:jc w:val="left"/>
              <w:rPr>
                <w:sz w:val="4"/>
                <w:szCs w:val="4"/>
              </w:rPr>
            </w:pPr>
            <w:r>
              <w:rPr>
                <w:sz w:val="4"/>
                <w:szCs w:val="4"/>
              </w:rPr>
            </w:r>
          </w:p>
        </w:tc>
      </w:tr>
      <w:tr>
        <w:trPr/>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u w:val="single"/>
              </w:rPr>
            </w:pPr>
            <w:r>
              <w:rPr>
                <w:rFonts w:ascii="Arial Narrow;sans-serif" w:hAnsi="Arial Narrow;sans-serif"/>
                <w:b w:val="false"/>
                <w:color w:val="000000"/>
                <w:sz w:val="20"/>
                <w:u w:val="single"/>
              </w:rPr>
              <w:t>(Dollars in thousands)</w:t>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September 30, 2025</w:t>
            </w:r>
          </w:p>
        </w:tc>
      </w:tr>
      <w:tr>
        <w:trPr/>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Operating Efficiency Ratio</w:t>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Non-interest expense</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191,884 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186,700 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200,529 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167,783 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579,113 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474,220 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OREO expense</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Intangible amortization</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(4,798)</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(4,799)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(4,799)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(14,396)</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(10,707)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expenses</w:t>
            </w:r>
          </w:p>
        </w:tc>
        <w:tc>
          <w:tcPr>
            <w:tcW w:w="9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186,995 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181,841 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195,714 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163,905 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564,549 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463,416 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 adjustments (pre-tax)</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(8,545)</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(14,795)</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(10,316)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operating non-interest expense (non-GAAP)</w:t>
            </w:r>
          </w:p>
        </w:tc>
        <w:tc>
          <w:tcPr>
            <w:tcW w:w="9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185,873 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180,407 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183,474 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155,360 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549,754 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453,100 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income (tax equivalent)</w:t>
            </w:r>
          </w:p>
        </w:tc>
        <w:tc>
          <w:tcPr>
            <w:tcW w:w="94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293,484 </w:t>
            </w:r>
          </w:p>
        </w:tc>
        <w:tc>
          <w:tcPr>
            <w:tcW w:w="24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280,016 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272,383 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228,835 </w:t>
            </w:r>
          </w:p>
        </w:tc>
        <w:tc>
          <w:tcPr>
            <w:tcW w:w="24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845,883 </w:t>
            </w:r>
          </w:p>
        </w:tc>
        <w:tc>
          <w:tcPr>
            <w:tcW w:w="24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633,317 </w:t>
            </w:r>
          </w:p>
        </w:tc>
        <w:tc>
          <w:tcPr>
            <w:tcW w:w="30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Non-interest income</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39,941 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41,101 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35,352 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119,124 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100,938 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OREO income</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9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333,418 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321,007 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310,430 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264,152 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964,855 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734,220 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Operating revenue adjustments (pre-tax) </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(251)</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(839)</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20"/>
              </w:rPr>
              <w:t>Total revenues (non-GAAP)</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333,418 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320,944 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309,654 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263,901 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964,016 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732,856 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Efficiency ratio </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56.08 </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56.65 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63.05 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62.05 </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58.51 </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63.12 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Efficiency ratio (non-GAAP)</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55.75 </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56.21 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59.25 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58.87 </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57.03 </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61.83 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Average Balance Sheets</w:t>
      </w:r>
    </w:p>
    <w:tbl>
      <w:tblPr>
        <w:tblW w:w="10205" w:type="dxa"/>
        <w:jc w:val="center"/>
        <w:tblInd w:w="0" w:type="dxa"/>
        <w:tblLayout w:type="fixed"/>
        <w:tblCellMar>
          <w:top w:w="28" w:type="dxa"/>
          <w:left w:w="28" w:type="dxa"/>
          <w:bottom w:w="28" w:type="dxa"/>
          <w:right w:w="28" w:type="dxa"/>
        </w:tblCellMar>
      </w:tblPr>
      <w:tblGrid>
        <w:gridCol w:w="981"/>
        <w:gridCol w:w="620"/>
        <w:gridCol w:w="623"/>
        <w:gridCol w:w="196"/>
        <w:gridCol w:w="961"/>
        <w:gridCol w:w="109"/>
        <w:gridCol w:w="109"/>
        <w:gridCol w:w="109"/>
        <w:gridCol w:w="109"/>
        <w:gridCol w:w="196"/>
        <w:gridCol w:w="736"/>
        <w:gridCol w:w="109"/>
        <w:gridCol w:w="109"/>
        <w:gridCol w:w="109"/>
        <w:gridCol w:w="109"/>
        <w:gridCol w:w="233"/>
        <w:gridCol w:w="233"/>
        <w:gridCol w:w="372"/>
        <w:gridCol w:w="109"/>
        <w:gridCol w:w="109"/>
        <w:gridCol w:w="109"/>
        <w:gridCol w:w="196"/>
        <w:gridCol w:w="961"/>
        <w:gridCol w:w="109"/>
        <w:gridCol w:w="109"/>
        <w:gridCol w:w="109"/>
        <w:gridCol w:w="109"/>
        <w:gridCol w:w="196"/>
        <w:gridCol w:w="736"/>
        <w:gridCol w:w="109"/>
        <w:gridCol w:w="109"/>
        <w:gridCol w:w="109"/>
        <w:gridCol w:w="109"/>
        <w:gridCol w:w="233"/>
        <w:gridCol w:w="233"/>
        <w:gridCol w:w="428"/>
      </w:tblGrid>
      <w:tr>
        <w:trPr/>
        <w:tc>
          <w:tcPr>
            <w:tcW w:w="98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Three Months ended </w:t>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June 30, 2026</w:t>
            </w:r>
          </w:p>
        </w:tc>
      </w:tr>
      <w:tr>
        <w:trPr/>
        <w:tc>
          <w:tcPr>
            <w:tcW w:w="2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Interest &amp;</w:t>
              <w:br/>
              <w:t>Dividends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Yield/</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Interest &amp;</w:t>
              <w:br/>
              <w:t>Dividends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Yield/</w:t>
              <w:br/>
              <w:t>Rate</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Residential real estate loans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2,118,156 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5.60 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2,172,055 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5.54 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Commercial loans </w:t>
            </w:r>
            <w:r>
              <w:rPr>
                <w:rFonts w:ascii="Arial Narrow;sans-serif" w:hAnsi="Arial Narrow;sans-serif"/>
                <w:b w:val="false"/>
                <w:color w:val="000000"/>
                <w:sz w:val="13"/>
              </w:rPr>
              <w:t>1</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17,879,132 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6.23 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17,562,322 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267,705 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6.11 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Consumer and other loans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1,476,570 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7.08 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1,479,518 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7.08 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Total loans </w:t>
            </w:r>
            <w:r>
              <w:rPr>
                <w:rFonts w:ascii="Arial Narrow;sans-serif" w:hAnsi="Arial Narrow;sans-serif"/>
                <w:b w:val="false"/>
                <w:color w:val="000000"/>
                <w:sz w:val="13"/>
              </w:rPr>
              <w:t>2</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21,473,858 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336,613 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6.22 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21,213,895 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323,912 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6.12 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Tax-exempt debt securities </w:t>
            </w:r>
            <w:r>
              <w:rPr>
                <w:rFonts w:ascii="Arial Narrow;sans-serif" w:hAnsi="Arial Narrow;sans-serif"/>
                <w:b w:val="false"/>
                <w:color w:val="000000"/>
                <w:sz w:val="13"/>
              </w:rPr>
              <w:t>3</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1,604,570 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3.52 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1,624,487 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3.51 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Taxable debt securities </w:t>
            </w:r>
            <w:r>
              <w:rPr>
                <w:rFonts w:ascii="Arial Narrow;sans-serif" w:hAnsi="Arial Narrow;sans-serif"/>
                <w:b w:val="false"/>
                <w:color w:val="000000"/>
                <w:sz w:val="13"/>
              </w:rPr>
              <w:t>4, 5</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5,991,490 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5,954,961 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earning assets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29,069,918 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383,568 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5.23 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28,793,343 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368,808 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5.14 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 and intangibles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1,471,485 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1,476,292 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Non-earning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1,229,424 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1,201,401 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31,770,827 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31,471,036 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Non-interest bearing deposits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7,535,227 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7,298,710 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NOW and DDA accounts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6,135,597 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6,206,979 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Savings accounts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3,198,811 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0.72 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3,170,155 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0.69 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Money market deposit accounts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4,150,413 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2.05 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4,052,361 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1.99 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Certificate accounts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3,720,634 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3,807,368 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3.18 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core deposits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24,740,682 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72,830 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24,535,573 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71,941 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Wholesale deposits </w:t>
            </w:r>
            <w:r>
              <w:rPr>
                <w:rFonts w:ascii="Arial Narrow;sans-serif" w:hAnsi="Arial Narrow;sans-serif"/>
                <w:b w:val="false"/>
                <w:color w:val="000000"/>
                <w:sz w:val="13"/>
              </w:rPr>
              <w:t>6</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3.77 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Repurchase agreements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2.69 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1,995,035 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FHLB advances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3.87 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Subordinated debentures and other borrowed funds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272,160 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5.31 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5.31 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funding liabilities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27,018,521 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90,084 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26,805,589 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88,792 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399,951 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27,418,472 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27,170,381 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Stockholders’ Equity</w:t>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Stockholders’ equity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4,352,355 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4,300,655 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 and stockholders’ equity</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31,770,827 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31,471,036 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income (tax-equivalent)</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293,484 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spread (tax-equivalent)</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margin (tax-equivalent)</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4.01 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3.90 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Includes tax effect of $1.6 million and $1.6 million on tax-exempt municipal loan and lease income for the three months ended September 30, 2026, and June 30, 2026,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2 </w:t>
      </w:r>
      <w:r>
        <w:rPr>
          <w:rFonts w:ascii="Arial Narrow;sans-serif" w:hAnsi="Arial Narrow;sans-serif"/>
          <w:b w:val="false"/>
          <w:color w:val="000000"/>
          <w:sz w:val="18"/>
        </w:rPr>
        <w:t>Total loans are gross of the allowance for credit losses, net of unearned income and include loans held for sale. Non-accrual loans were included in the average volume for the entire period.</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3 </w:t>
      </w:r>
      <w:r>
        <w:rPr>
          <w:rFonts w:ascii="Arial Narrow;sans-serif" w:hAnsi="Arial Narrow;sans-serif"/>
          <w:b w:val="false"/>
          <w:color w:val="000000"/>
          <w:sz w:val="18"/>
        </w:rPr>
        <w:t>Includes tax effect of $1.9 million and $1.9 million on tax-exempt debt securities income for the three months ended September 30, 2026, and June 30, 2026,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4</w:t>
      </w:r>
      <w:r>
        <w:rPr>
          <w:color w:val="000000"/>
        </w:rPr>
        <w:t xml:space="preserve">     </w:t>
      </w:r>
      <w:r>
        <w:rPr>
          <w:rFonts w:ascii="Arial Narrow;sans-serif" w:hAnsi="Arial Narrow;sans-serif"/>
          <w:b w:val="false"/>
          <w:color w:val="000000"/>
          <w:sz w:val="18"/>
        </w:rPr>
        <w:t>Includes interest income of $7.2 million and $7.0 million on average interest-bearing cash balances of $765.3 million and $772.3 million for the three months ended September 30, 2026, and June 30, 2026,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5 </w:t>
      </w:r>
      <w:r>
        <w:rPr>
          <w:rFonts w:ascii="Arial Narrow;sans-serif" w:hAnsi="Arial Narrow;sans-serif"/>
          <w:b w:val="false"/>
          <w:color w:val="000000"/>
          <w:sz w:val="18"/>
        </w:rPr>
        <w:t>Includes tax effect of $69 thousand and $68 thousand on federal income tax credits for the three months ended September 30, 2026, and June 30, 2026,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6 </w:t>
      </w:r>
      <w:r>
        <w:rPr>
          <w:rFonts w:ascii="Arial Narrow;sans-serif" w:hAnsi="Arial Narrow;sans-serif"/>
          <w:b w:val="false"/>
          <w:color w:val="000000"/>
          <w:sz w:val="18"/>
        </w:rPr>
        <w:t>Wholesale deposits include brokered deposits classified as NOW, DDA, money market deposit and certificate accounts with contractual maturities.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0"/>
        <w:ind w:left="0" w:right="0" w:hanging="18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Average Balance Sheets (continued)</w:t>
      </w:r>
    </w:p>
    <w:tbl>
      <w:tblPr>
        <w:tblW w:w="10205" w:type="dxa"/>
        <w:jc w:val="left"/>
        <w:tblInd w:w="0" w:type="dxa"/>
        <w:tblLayout w:type="fixed"/>
        <w:tblCellMar>
          <w:top w:w="28" w:type="dxa"/>
          <w:left w:w="28" w:type="dxa"/>
          <w:bottom w:w="28" w:type="dxa"/>
          <w:right w:w="28" w:type="dxa"/>
        </w:tblCellMar>
      </w:tblPr>
      <w:tblGrid>
        <w:gridCol w:w="981"/>
        <w:gridCol w:w="620"/>
        <w:gridCol w:w="623"/>
        <w:gridCol w:w="196"/>
        <w:gridCol w:w="961"/>
        <w:gridCol w:w="109"/>
        <w:gridCol w:w="109"/>
        <w:gridCol w:w="109"/>
        <w:gridCol w:w="109"/>
        <w:gridCol w:w="196"/>
        <w:gridCol w:w="736"/>
        <w:gridCol w:w="109"/>
        <w:gridCol w:w="109"/>
        <w:gridCol w:w="109"/>
        <w:gridCol w:w="109"/>
        <w:gridCol w:w="233"/>
        <w:gridCol w:w="233"/>
        <w:gridCol w:w="372"/>
        <w:gridCol w:w="109"/>
        <w:gridCol w:w="109"/>
        <w:gridCol w:w="109"/>
        <w:gridCol w:w="196"/>
        <w:gridCol w:w="961"/>
        <w:gridCol w:w="109"/>
        <w:gridCol w:w="109"/>
        <w:gridCol w:w="109"/>
        <w:gridCol w:w="109"/>
        <w:gridCol w:w="196"/>
        <w:gridCol w:w="736"/>
        <w:gridCol w:w="109"/>
        <w:gridCol w:w="109"/>
        <w:gridCol w:w="109"/>
        <w:gridCol w:w="109"/>
        <w:gridCol w:w="233"/>
        <w:gridCol w:w="233"/>
        <w:gridCol w:w="428"/>
      </w:tblGrid>
      <w:tr>
        <w:trPr/>
        <w:tc>
          <w:tcPr>
            <w:tcW w:w="98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Three Months ended </w:t>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September 30, 2025</w:t>
            </w:r>
          </w:p>
        </w:tc>
      </w:tr>
      <w:tr>
        <w:trPr/>
        <w:tc>
          <w:tcPr>
            <w:tcW w:w="2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Interest &amp;</w:t>
              <w:br/>
              <w:t>Dividends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Yield/</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Interest &amp;</w:t>
              <w:br/>
              <w:t>Dividends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Yield/</w:t>
              <w:br/>
              <w:t>Rate</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Residential real estate loans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2,118,156 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5.60 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1,962,831 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5.37 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Commercial loans </w:t>
            </w:r>
            <w:r>
              <w:rPr>
                <w:rFonts w:ascii="Arial Narrow;sans-serif" w:hAnsi="Arial Narrow;sans-serif"/>
                <w:b w:val="false"/>
                <w:color w:val="000000"/>
                <w:sz w:val="13"/>
              </w:rPr>
              <w:t>1</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17,879,132 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6.23 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15,351,367 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229,915 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5.94 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Consumer and other loans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1,476,570 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7.08 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1,363,996 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7.26 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Total loans </w:t>
            </w:r>
            <w:r>
              <w:rPr>
                <w:rFonts w:ascii="Arial Narrow;sans-serif" w:hAnsi="Arial Narrow;sans-serif"/>
                <w:b w:val="false"/>
                <w:color w:val="000000"/>
                <w:sz w:val="13"/>
              </w:rPr>
              <w:t>2</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21,473,858 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336,613 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6.22 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18,678,194 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281,207 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5.97 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Tax-exempt debt securities </w:t>
            </w:r>
            <w:r>
              <w:rPr>
                <w:rFonts w:ascii="Arial Narrow;sans-serif" w:hAnsi="Arial Narrow;sans-serif"/>
                <w:b w:val="false"/>
                <w:color w:val="000000"/>
                <w:sz w:val="13"/>
              </w:rPr>
              <w:t>3</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1,604,570 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3.52 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1,583,554 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Taxable debt securities </w:t>
            </w:r>
            <w:r>
              <w:rPr>
                <w:rFonts w:ascii="Arial Narrow;sans-serif" w:hAnsi="Arial Narrow;sans-serif"/>
                <w:b w:val="false"/>
                <w:color w:val="000000"/>
                <w:sz w:val="13"/>
              </w:rPr>
              <w:t>4, 5</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5,991,490 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6,554,179 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2.03 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earning assets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29,069,918 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383,568 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5.23 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26,815,927 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328,460 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4.86 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 and intangibles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1,471,485 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1,184,370 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Non-earning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1,229,424 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987,070 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31,770,827 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28,987,367 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Non-interest bearing deposits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7,535,227 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6,550,398 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NOW and DDA accounts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6,135,597 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5,734,329 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Savings accounts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3,198,811 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0.72 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2,995,538 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0.77 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Money market deposit accounts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4,150,413 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2.05 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3,136,019 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2.12 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Certificate accounts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3,720,634 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3,217,199 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3.48 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core deposits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24,740,682 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72,830 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21,633,483 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67,304 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Wholesale deposits </w:t>
            </w:r>
            <w:r>
              <w:rPr>
                <w:rFonts w:ascii="Arial Narrow;sans-serif" w:hAnsi="Arial Narrow;sans-serif"/>
                <w:b w:val="false"/>
                <w:color w:val="000000"/>
                <w:sz w:val="13"/>
              </w:rPr>
              <w:t>6</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4.48 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Repurchase agreements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2.69 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1,986,620 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2.94 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FHLB advances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1,192,493 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4.68 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Subordinated debentures and other borrowed funds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272,160 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5.31 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236,375 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5.54 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funding liabilities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27,018,521 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90,084 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25,052,620 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99,624 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1.58 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399,951 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27,418,472 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25,406,072 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Stockholders’ Equity</w:t>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Stockholders’ equity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4,352,355 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3,581,295 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Total liabilities and stockholders’ equity</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31,770,827 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28,987,367 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income (tax-equivalent)</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293,484 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spread (tax-equivalent)</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3.28 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margin (tax-equivalent)</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4.01 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3.39 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Includes tax effect of $1.6 million and $1.6 million on tax-exempt municipal loan and lease income for the three months ended September 30, 2026, and 2025,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2 </w:t>
      </w:r>
      <w:r>
        <w:rPr>
          <w:rFonts w:ascii="Arial Narrow;sans-serif" w:hAnsi="Arial Narrow;sans-serif"/>
          <w:b w:val="false"/>
          <w:color w:val="000000"/>
          <w:sz w:val="18"/>
        </w:rPr>
        <w:t>Total loans are gross of the allowance for credit losses, net of unearned income and include loans held for sale. Non-accrual loans were included in the average volume for the entire period.</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3 </w:t>
      </w:r>
      <w:r>
        <w:rPr>
          <w:rFonts w:ascii="Arial Narrow;sans-serif" w:hAnsi="Arial Narrow;sans-serif"/>
          <w:b w:val="false"/>
          <w:color w:val="000000"/>
          <w:sz w:val="18"/>
        </w:rPr>
        <w:t>Includes tax effect of $1.9 million and $1.8 million on tax-exempt debt securities income for the three months ended September 30, 2026, and 2025,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4 </w:t>
      </w:r>
      <w:r>
        <w:rPr>
          <w:color w:val="000000"/>
        </w:rPr>
        <w:t>    </w:t>
      </w:r>
      <w:r>
        <w:rPr>
          <w:rFonts w:ascii="Arial Narrow;sans-serif" w:hAnsi="Arial Narrow;sans-serif"/>
          <w:b w:val="false"/>
          <w:color w:val="000000"/>
          <w:sz w:val="18"/>
        </w:rPr>
        <w:t>Includes interest income of $7.2 million and $6.7 million on average interest-bearing cash balances of $765.3 million and $600.3 million for the three months ended September 30, 2026, and 2025,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5 </w:t>
      </w:r>
      <w:r>
        <w:rPr>
          <w:rFonts w:ascii="Arial Narrow;sans-serif" w:hAnsi="Arial Narrow;sans-serif"/>
          <w:b w:val="false"/>
          <w:color w:val="000000"/>
          <w:sz w:val="18"/>
        </w:rPr>
        <w:t>Includes tax effect of $69 thousand and $150 thousand on federal income tax credits for the three months ended September 30, 2026, and 2025,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6 </w:t>
      </w:r>
      <w:r>
        <w:rPr>
          <w:rFonts w:ascii="Arial Narrow;sans-serif" w:hAnsi="Arial Narrow;sans-serif"/>
          <w:b w:val="false"/>
          <w:color w:val="000000"/>
          <w:sz w:val="18"/>
        </w:rPr>
        <w:t>Wholesale deposits include brokered deposits classified as NOW, DDA, money market deposit and certificate accounts with contractual maturities.</w:t>
      </w:r>
    </w:p>
    <w:p>
      <w:pPr>
        <w:pStyle w:val="TextBody"/>
        <w:bidi w:val="0"/>
        <w:ind w:left="0" w:right="0" w:hanging="18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0"/>
        <w:ind w:left="0" w:right="0" w:hanging="18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Average Balance Sheets (continued)</w:t>
      </w:r>
    </w:p>
    <w:tbl>
      <w:tblPr>
        <w:tblW w:w="10205" w:type="dxa"/>
        <w:jc w:val="left"/>
        <w:tblInd w:w="0" w:type="dxa"/>
        <w:tblLayout w:type="fixed"/>
        <w:tblCellMar>
          <w:top w:w="28" w:type="dxa"/>
          <w:left w:w="28" w:type="dxa"/>
          <w:bottom w:w="28" w:type="dxa"/>
          <w:right w:w="28" w:type="dxa"/>
        </w:tblCellMar>
      </w:tblPr>
      <w:tblGrid>
        <w:gridCol w:w="981"/>
        <w:gridCol w:w="620"/>
        <w:gridCol w:w="623"/>
        <w:gridCol w:w="196"/>
        <w:gridCol w:w="961"/>
        <w:gridCol w:w="109"/>
        <w:gridCol w:w="109"/>
        <w:gridCol w:w="109"/>
        <w:gridCol w:w="109"/>
        <w:gridCol w:w="196"/>
        <w:gridCol w:w="736"/>
        <w:gridCol w:w="109"/>
        <w:gridCol w:w="109"/>
        <w:gridCol w:w="109"/>
        <w:gridCol w:w="109"/>
        <w:gridCol w:w="233"/>
        <w:gridCol w:w="233"/>
        <w:gridCol w:w="372"/>
        <w:gridCol w:w="109"/>
        <w:gridCol w:w="109"/>
        <w:gridCol w:w="109"/>
        <w:gridCol w:w="196"/>
        <w:gridCol w:w="961"/>
        <w:gridCol w:w="109"/>
        <w:gridCol w:w="109"/>
        <w:gridCol w:w="109"/>
        <w:gridCol w:w="109"/>
        <w:gridCol w:w="196"/>
        <w:gridCol w:w="736"/>
        <w:gridCol w:w="109"/>
        <w:gridCol w:w="109"/>
        <w:gridCol w:w="109"/>
        <w:gridCol w:w="109"/>
        <w:gridCol w:w="233"/>
        <w:gridCol w:w="233"/>
        <w:gridCol w:w="428"/>
      </w:tblGrid>
      <w:tr>
        <w:trPr/>
        <w:tc>
          <w:tcPr>
            <w:tcW w:w="98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Nine Months ended</w:t>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September 30, 2025</w:t>
            </w:r>
          </w:p>
        </w:tc>
      </w:tr>
      <w:tr>
        <w:trPr/>
        <w:tc>
          <w:tcPr>
            <w:tcW w:w="2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Interest &amp;</w:t>
              <w:br/>
              <w:t>Dividends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Yield/</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Interest &amp;</w:t>
              <w:br/>
              <w:t>Dividends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Average</w:t>
              <w:br/>
              <w:t>Yield/</w:t>
              <w:br/>
              <w:t>Rate</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Residential real estate loans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2,216,004 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5.62 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1,929,897 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5.25 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Commercial loans </w:t>
            </w:r>
            <w:r>
              <w:rPr>
                <w:rFonts w:ascii="Arial Narrow;sans-serif" w:hAnsi="Arial Narrow;sans-serif"/>
                <w:b w:val="false"/>
                <w:color w:val="000000"/>
                <w:sz w:val="13"/>
              </w:rPr>
              <w:t>1</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17,551,741 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808,589 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6.16 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14,780,437 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645,221 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5.84 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Consumer and other loans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1,460,770 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7.08 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1,334,462 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7.15 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Total loans </w:t>
            </w:r>
            <w:r>
              <w:rPr>
                <w:rFonts w:ascii="Arial Narrow;sans-serif" w:hAnsi="Arial Narrow;sans-serif"/>
                <w:b w:val="false"/>
                <w:color w:val="000000"/>
                <w:sz w:val="13"/>
              </w:rPr>
              <w:t>2</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21,228,515 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979,407 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6.17 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18,044,796 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792,555 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5.87 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Tax-exempt debt securities </w:t>
            </w:r>
            <w:r>
              <w:rPr>
                <w:rFonts w:ascii="Arial Narrow;sans-serif" w:hAnsi="Arial Narrow;sans-serif"/>
                <w:b w:val="false"/>
                <w:color w:val="000000"/>
                <w:sz w:val="13"/>
              </w:rPr>
              <w:t>3</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1,625,399 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3.51 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1,594,355 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3.51 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Taxable debt securities </w:t>
            </w:r>
            <w:r>
              <w:rPr>
                <w:rFonts w:ascii="Arial Narrow;sans-serif" w:hAnsi="Arial Narrow;sans-serif"/>
                <w:b w:val="false"/>
                <w:color w:val="000000"/>
                <w:sz w:val="13"/>
              </w:rPr>
              <w:t>4, 5</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6,126,696 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6,713,914 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1.96 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earning assets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28,980,610 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1,118,419 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5.16 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26,353,065 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933,386 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4.74 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 and intangibles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1,476,286 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1,146,519 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Non-earning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918,154 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31,668,330 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28,417,738 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Non-interest bearing deposits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7,355,903 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6,267,432 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NOW and DDA accounts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6,169,973 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5,645,862 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Savings accounts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3,177,733 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0.70 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2,921,024 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0.75 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Money market deposit accounts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4,056,148 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2,996,375 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2.04 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Certificate accounts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3,807,656 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3.21 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3,193,843 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3.60 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core deposits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24,567,413 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216,988 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21,024,536 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195,632 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Wholesale deposits </w:t>
            </w:r>
            <w:r>
              <w:rPr>
                <w:rFonts w:ascii="Arial Narrow;sans-serif" w:hAnsi="Arial Narrow;sans-serif"/>
                <w:b w:val="false"/>
                <w:color w:val="000000"/>
                <w:sz w:val="13"/>
              </w:rPr>
              <w:t>6</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4.58 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Repurchase agreements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2,023,595 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2.67 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1,909,939 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FHLB advances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4.67 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1,475,071 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4.72 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Subordinated debentures and other borrowed funds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270,417 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5.34 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5.24 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funding liabilities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26,984,102 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272,536 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24,642,026 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300,069 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1.63 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379,197 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339,599 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27,363,299 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24,981,625 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Stockholders’ Equity</w:t>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Stockholders’ equity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4,305,031 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3,436,113 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Total liabilities and stockholders’ equity</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31,668,330 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28,417,738 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income (tax-equivalent)</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845,883 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633,317 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spread (tax-equivalent)</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3.11 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margin (tax-equivalent)</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3.90 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3.21 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Includes tax effect of $4.9 million and $4.7 million on tax-exempt municipal loan and lease income for the nine months ended September 30, 2026, and 2025,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2</w:t>
      </w:r>
      <w:r>
        <w:rPr>
          <w:color w:val="000000"/>
        </w:rPr>
        <w:t xml:space="preserve"> </w:t>
      </w:r>
      <w:r>
        <w:rPr>
          <w:rFonts w:ascii="Arial Narrow;sans-serif" w:hAnsi="Arial Narrow;sans-serif"/>
          <w:b w:val="false"/>
          <w:color w:val="000000"/>
          <w:sz w:val="18"/>
        </w:rPr>
        <w:t>Total loans are gross of the allowance for credit losses, net of unearned income and include loans held for sale. Non-accrual loans were included in the average volume for the entire period.</w:t>
      </w:r>
    </w:p>
    <w:p>
      <w:pPr>
        <w:pStyle w:val="TextBody"/>
        <w:bidi w:val="0"/>
        <w:spacing w:lineRule="auto" w:line="288" w:before="0" w:after="0"/>
        <w:ind w:left="0" w:right="0" w:hanging="180"/>
        <w:jc w:val="both"/>
        <w:rPr/>
      </w:pPr>
      <w:r>
        <w:rPr>
          <w:rFonts w:ascii="Arial Narrow;sans-serif" w:hAnsi="Arial Narrow;sans-serif"/>
          <w:b w:val="false"/>
          <w:color w:val="000000"/>
          <w:sz w:val="12"/>
        </w:rPr>
        <w:t>3</w:t>
      </w:r>
      <w:r>
        <w:rPr>
          <w:color w:val="000000"/>
        </w:rPr>
        <w:t xml:space="preserve"> </w:t>
      </w:r>
      <w:r>
        <w:rPr>
          <w:rFonts w:ascii="Arial Narrow;sans-serif" w:hAnsi="Arial Narrow;sans-serif"/>
          <w:b w:val="false"/>
          <w:color w:val="000000"/>
          <w:sz w:val="18"/>
        </w:rPr>
        <w:t>Includes tax effect of $5.8 million and $5.2 million on tax-exempt debt securities income for the nine months ended September 30, 2026, and 2025,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4</w:t>
      </w:r>
      <w:r>
        <w:rPr>
          <w:color w:val="000000"/>
        </w:rPr>
        <w:t xml:space="preserve">     </w:t>
      </w:r>
      <w:r>
        <w:rPr>
          <w:rFonts w:ascii="Arial Narrow;sans-serif" w:hAnsi="Arial Narrow;sans-serif"/>
          <w:b w:val="false"/>
          <w:color w:val="000000"/>
          <w:sz w:val="18"/>
        </w:rPr>
        <w:t>Includes interest income of $22.4 million and $17.7 million on average interest-bearing cash balances of $810.1 million and $531.3 million for the nine months ended September 30, 2026, and 2025,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5</w:t>
      </w:r>
      <w:r>
        <w:rPr>
          <w:color w:val="000000"/>
        </w:rPr>
        <w:t xml:space="preserve"> </w:t>
      </w:r>
      <w:r>
        <w:rPr>
          <w:rFonts w:ascii="Arial Narrow;sans-serif" w:hAnsi="Arial Narrow;sans-serif"/>
          <w:b w:val="false"/>
          <w:color w:val="000000"/>
          <w:sz w:val="18"/>
        </w:rPr>
        <w:t>Includes tax effect of $205 thousand and $451 thousand on federal income tax credits for the nine months ended September 30, 2026, and 2025, respectively.</w:t>
      </w:r>
    </w:p>
    <w:p>
      <w:pPr>
        <w:pStyle w:val="TextBody"/>
        <w:bidi w:val="0"/>
        <w:spacing w:lineRule="auto" w:line="288" w:before="0" w:after="0"/>
        <w:ind w:left="0" w:right="0" w:hanging="180"/>
        <w:jc w:val="both"/>
        <w:rPr/>
      </w:pPr>
      <w:r>
        <w:rPr>
          <w:rFonts w:ascii="Arial Narrow;sans-serif" w:hAnsi="Arial Narrow;sans-serif"/>
          <w:b w:val="false"/>
          <w:color w:val="000000"/>
          <w:sz w:val="12"/>
        </w:rPr>
        <w:t>6</w:t>
      </w:r>
      <w:r>
        <w:rPr>
          <w:color w:val="000000"/>
        </w:rPr>
        <w:t xml:space="preserve"> </w:t>
      </w:r>
      <w:r>
        <w:rPr>
          <w:rFonts w:ascii="Arial Narrow;sans-serif" w:hAnsi="Arial Narrow;sans-serif"/>
          <w:b w:val="false"/>
          <w:color w:val="000000"/>
          <w:sz w:val="18"/>
        </w:rPr>
        <w:t>Wholesale deposits include brokered deposits classified as NOW, DDA, money market deposit and certificate accounts with contractual maturities.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0"/>
        <w:ind w:left="0" w:right="0" w:hanging="18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Loan Portfolio by Regulatory Classification</w:t>
      </w:r>
    </w:p>
    <w:tbl>
      <w:tblPr>
        <w:tblW w:w="10205" w:type="dxa"/>
        <w:jc w:val="center"/>
        <w:tblInd w:w="0" w:type="dxa"/>
        <w:tblLayout w:type="fixed"/>
        <w:tblCellMar>
          <w:top w:w="28" w:type="dxa"/>
          <w:left w:w="28" w:type="dxa"/>
          <w:bottom w:w="28" w:type="dxa"/>
          <w:right w:w="28" w:type="dxa"/>
        </w:tblCellMar>
      </w:tblPr>
      <w:tblGrid>
        <w:gridCol w:w="671"/>
        <w:gridCol w:w="275"/>
        <w:gridCol w:w="276"/>
        <w:gridCol w:w="196"/>
        <w:gridCol w:w="961"/>
        <w:gridCol w:w="109"/>
        <w:gridCol w:w="109"/>
        <w:gridCol w:w="109"/>
        <w:gridCol w:w="109"/>
        <w:gridCol w:w="196"/>
        <w:gridCol w:w="961"/>
        <w:gridCol w:w="109"/>
        <w:gridCol w:w="109"/>
        <w:gridCol w:w="109"/>
        <w:gridCol w:w="109"/>
        <w:gridCol w:w="196"/>
        <w:gridCol w:w="961"/>
        <w:gridCol w:w="109"/>
        <w:gridCol w:w="109"/>
        <w:gridCol w:w="109"/>
        <w:gridCol w:w="109"/>
        <w:gridCol w:w="196"/>
        <w:gridCol w:w="961"/>
        <w:gridCol w:w="109"/>
        <w:gridCol w:w="109"/>
        <w:gridCol w:w="109"/>
        <w:gridCol w:w="109"/>
        <w:gridCol w:w="230"/>
        <w:gridCol w:w="176"/>
        <w:gridCol w:w="249"/>
        <w:gridCol w:w="109"/>
        <w:gridCol w:w="109"/>
        <w:gridCol w:w="109"/>
        <w:gridCol w:w="203"/>
        <w:gridCol w:w="203"/>
        <w:gridCol w:w="250"/>
        <w:gridCol w:w="109"/>
        <w:gridCol w:w="109"/>
        <w:gridCol w:w="109"/>
        <w:gridCol w:w="189"/>
        <w:gridCol w:w="159"/>
        <w:gridCol w:w="298"/>
      </w:tblGrid>
      <w:tr>
        <w:trPr/>
        <w:tc>
          <w:tcPr>
            <w:tcW w:w="6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Loans Receivable, by 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Change from</w:t>
            </w:r>
          </w:p>
        </w:tc>
      </w:tr>
      <w:tr>
        <w:trPr/>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2025</w:t>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Custom and owner occupied construction</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220,495 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240,093 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263,713 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231,238 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Pre-sold and spec construction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286,778 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217,413 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10 </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12 </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color w:val="000000"/>
                <w:sz w:val="20"/>
              </w:rPr>
            </w:pPr>
            <w:r>
              <w:rPr>
                <w:rFonts w:ascii="Arial Narrow;sans-serif" w:hAnsi="Arial Narrow;sans-serif"/>
                <w:b/>
                <w:color w:val="000000"/>
                <w:sz w:val="20"/>
              </w:rPr>
              <w:t>Total residential construction</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507,273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501,735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519,255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448,651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w:t>
            </w: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(2)</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w:t>
            </w: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Land development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232,326 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Consumer land or lots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230,020 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247,769 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11 </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Unimproved land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6 </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62 </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Developed lots for operative builders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 lots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8 </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construction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1,333,807 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1,254,856 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982,743 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6 </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19 </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36 </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color w:val="000000"/>
                <w:sz w:val="20"/>
              </w:rPr>
            </w:pPr>
            <w:r>
              <w:rPr>
                <w:rFonts w:ascii="Arial Narrow;sans-serif" w:hAnsi="Arial Narrow;sans-serif"/>
                <w:b/>
                <w:color w:val="000000"/>
                <w:sz w:val="20"/>
              </w:rPr>
              <w:t>Total land, lot, and other construction</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2,258,357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2,158,107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2,026,594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1,681,660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w:t>
            </w: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w:t>
            </w: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34</w:t>
            </w: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Owner occupied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3,931,551 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3,928,083 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3,950,726 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3,570,671 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10 </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Non-owner occupied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5,346,391 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5,195,855 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4,859,173 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4,333,302 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10 </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color w:val="000000"/>
                <w:sz w:val="20"/>
              </w:rPr>
            </w:pPr>
            <w:r>
              <w:rPr>
                <w:rFonts w:ascii="Arial Narrow;sans-serif" w:hAnsi="Arial Narrow;sans-serif"/>
                <w:b/>
                <w:color w:val="000000"/>
                <w:sz w:val="20"/>
              </w:rPr>
              <w:t>Total commercial real estate</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9,277,942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9,123,938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8,809,899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7,903,973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w:t>
            </w: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w:t>
            </w: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w:t>
            </w: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 and industrial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1,651,586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1,687,362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1,649,101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1,554,832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(2)</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w:t>
            </w: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Agriculture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1,311,884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1,313,581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1,282,861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1,189,948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w:t>
            </w: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w:t>
            </w: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First lien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2,994,354 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2,996,965 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3,098,023 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2,579,418 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Junior lien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106,205 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7 </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40 </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1-4 family</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3,108,466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3,107,566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3,204,228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2,660,986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(3)</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w:t>
            </w: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Multifamily residential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1,102,092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1,075,562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1,019,484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969,573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w:t>
            </w: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w:t>
            </w: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14</w:t>
            </w: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Home equity lines of credit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1,088,925 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1,089,052 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1,076,201 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1,056,757 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consumer</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217,260 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13 </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consumer</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1,306,185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1,311,341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1,313,594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1,249,258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w:t>
            </w: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States and political subdivisions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955,986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950,829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964,591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994,062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w:t>
            </w: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(4)</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177,370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178,847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177,375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180,711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(2)</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 xml:space="preserve">Total loans receivable, including </w:t>
            </w:r>
          </w:p>
          <w:p>
            <w:pPr>
              <w:pStyle w:val="TableContents"/>
              <w:bidi w:val="0"/>
              <w:spacing w:lineRule="auto" w:line="240" w:before="0" w:after="0"/>
              <w:ind w:left="0" w:right="0" w:hanging="90"/>
              <w:jc w:val="left"/>
              <w:rPr>
                <w:color w:val="000000"/>
              </w:rPr>
            </w:pPr>
            <w:r>
              <w:rPr>
                <w:color w:val="000000"/>
              </w:rPr>
              <w:t>  </w:t>
            </w:r>
            <w:r>
              <w:rPr>
                <w:rFonts w:ascii="Arial Narrow;sans-serif" w:hAnsi="Arial Narrow;sans-serif"/>
                <w:b w:val="false"/>
                <w:color w:val="000000"/>
                <w:sz w:val="20"/>
              </w:rPr>
              <w:t>loans held for sale</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21,657,141 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21,408,868 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20,966,982 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18,833,654 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15 </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20"/>
              </w:rPr>
              <w:t xml:space="preserve">Less loans held for sale </w:t>
            </w:r>
            <w:r>
              <w:rPr>
                <w:rFonts w:ascii="Arial Narrow;sans-serif" w:hAnsi="Arial Narrow;sans-serif"/>
                <w:b/>
                <w:color w:val="000000"/>
                <w:sz w:val="13"/>
              </w:rPr>
              <w:t>1</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(37,611)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(45,145)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(39,186)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(42,668)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(17)</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(4)</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(12)</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loans receivable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21,619,530 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21,363,723 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20,927,796 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18,790,986 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1 </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15 </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jc w:val="left"/>
        <w:rPr/>
      </w:pPr>
      <w:r>
        <w:rPr>
          <w:rFonts w:ascii="Arial Narrow;sans-serif" w:hAnsi="Arial Narrow;sans-serif"/>
          <w:b w:val="false"/>
          <w:color w:val="000000"/>
          <w:sz w:val="12"/>
        </w:rPr>
        <w:t>1</w:t>
      </w:r>
      <w:r>
        <w:rPr>
          <w:color w:val="000000"/>
        </w:rPr>
        <w:t xml:space="preserve"> </w:t>
      </w:r>
      <w:r>
        <w:rPr>
          <w:rFonts w:ascii="Arial Narrow;sans-serif" w:hAnsi="Arial Narrow;sans-serif"/>
          <w:b w:val="false"/>
          <w:color w:val="000000"/>
          <w:sz w:val="18"/>
        </w:rPr>
        <w:t>Loans held for sale are primarily first lien 1-4 family loans.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Credit Quality Summary by Regulatory Classification</w:t>
      </w:r>
    </w:p>
    <w:tbl>
      <w:tblPr>
        <w:tblW w:w="10205" w:type="dxa"/>
        <w:jc w:val="center"/>
        <w:tblInd w:w="0" w:type="dxa"/>
        <w:tblLayout w:type="fixed"/>
        <w:tblCellMar>
          <w:top w:w="28" w:type="dxa"/>
          <w:left w:w="28" w:type="dxa"/>
          <w:bottom w:w="28" w:type="dxa"/>
          <w:right w:w="28" w:type="dxa"/>
        </w:tblCellMar>
      </w:tblPr>
      <w:tblGrid>
        <w:gridCol w:w="671"/>
        <w:gridCol w:w="390"/>
        <w:gridCol w:w="392"/>
        <w:gridCol w:w="196"/>
        <w:gridCol w:w="646"/>
        <w:gridCol w:w="109"/>
        <w:gridCol w:w="109"/>
        <w:gridCol w:w="109"/>
        <w:gridCol w:w="109"/>
        <w:gridCol w:w="327"/>
        <w:gridCol w:w="334"/>
        <w:gridCol w:w="166"/>
        <w:gridCol w:w="109"/>
        <w:gridCol w:w="109"/>
        <w:gridCol w:w="109"/>
        <w:gridCol w:w="343"/>
        <w:gridCol w:w="318"/>
        <w:gridCol w:w="168"/>
        <w:gridCol w:w="109"/>
        <w:gridCol w:w="109"/>
        <w:gridCol w:w="109"/>
        <w:gridCol w:w="342"/>
        <w:gridCol w:w="319"/>
        <w:gridCol w:w="168"/>
        <w:gridCol w:w="109"/>
        <w:gridCol w:w="109"/>
        <w:gridCol w:w="109"/>
        <w:gridCol w:w="329"/>
        <w:gridCol w:w="332"/>
        <w:gridCol w:w="212"/>
        <w:gridCol w:w="109"/>
        <w:gridCol w:w="109"/>
        <w:gridCol w:w="109"/>
        <w:gridCol w:w="345"/>
        <w:gridCol w:w="345"/>
        <w:gridCol w:w="346"/>
        <w:gridCol w:w="109"/>
        <w:gridCol w:w="109"/>
        <w:gridCol w:w="109"/>
        <w:gridCol w:w="450"/>
        <w:gridCol w:w="408"/>
        <w:gridCol w:w="587"/>
      </w:tblGrid>
      <w:tr>
        <w:trPr/>
        <w:tc>
          <w:tcPr>
            <w:tcW w:w="67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br/>
              <w:t>Non-performing Assets, by 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Non-</w:t>
              <w:br/>
              <w:t>Accrual</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Accruing</w:t>
              <w:br/>
              <w:t>Loans 90</w:t>
              <w:br/>
              <w:t>Days</w:t>
              <w:br/>
              <w:t>or More Past</w:t>
              <w:br/>
              <w:t>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Other real estate owned and foreclosed assets</w:t>
            </w:r>
          </w:p>
        </w:tc>
      </w:tr>
      <w:tr>
        <w:trPr/>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2026</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Custom and owner occupied construction</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397 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476 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1,110 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746 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Pre-sold and spec construction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2,039 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2,322 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1,347 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color w:val="000000"/>
                <w:sz w:val="20"/>
              </w:rPr>
            </w:pPr>
            <w:r>
              <w:rPr>
                <w:rFonts w:ascii="Arial Narrow;sans-serif" w:hAnsi="Arial Narrow;sans-serif"/>
                <w:b/>
                <w:color w:val="000000"/>
                <w:sz w:val="20"/>
              </w:rPr>
              <w:t>Total residential construction</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5,746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397</w:t>
            </w:r>
            <w:r>
              <w:rPr>
                <w:color w:val="000000"/>
              </w:rPr>
              <w:t>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1,102</w:t>
            </w:r>
            <w:r>
              <w:rPr>
                <w:color w:val="000000"/>
              </w:rPr>
              <w:t>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2,515</w:t>
            </w:r>
            <w:r>
              <w:rPr>
                <w:color w:val="000000"/>
              </w:rPr>
              <w:t>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1,331</w:t>
            </w:r>
            <w:r>
              <w:rPr>
                <w:color w:val="000000"/>
              </w:rPr>
              <w:t>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3,068</w:t>
            </w:r>
            <w:r>
              <w:rPr>
                <w:color w:val="000000"/>
              </w:rPr>
              <w:t>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1,347</w:t>
            </w:r>
            <w:r>
              <w:rPr>
                <w:color w:val="000000"/>
              </w:rPr>
              <w:t>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857 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Consumer land or lots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Developed lots for operative builders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 lots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construction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370 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color w:val="000000"/>
                <w:sz w:val="20"/>
              </w:rPr>
            </w:pPr>
            <w:r>
              <w:rPr>
                <w:rFonts w:ascii="Arial Narrow;sans-serif" w:hAnsi="Arial Narrow;sans-serif"/>
                <w:b/>
                <w:color w:val="000000"/>
                <w:sz w:val="20"/>
              </w:rPr>
              <w:t>Total land, lot and other construction</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2,161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1,883</w:t>
            </w:r>
            <w:r>
              <w:rPr>
                <w:color w:val="000000"/>
              </w:rPr>
              <w:t>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2,118</w:t>
            </w:r>
            <w:r>
              <w:rPr>
                <w:color w:val="000000"/>
              </w:rPr>
              <w:t>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1,731</w:t>
            </w:r>
            <w:r>
              <w:rPr>
                <w:color w:val="000000"/>
              </w:rPr>
              <w:t>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788</w:t>
            </w:r>
            <w:r>
              <w:rPr>
                <w:color w:val="000000"/>
              </w:rPr>
              <w:t>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33</w:t>
            </w:r>
            <w:r>
              <w:rPr>
                <w:color w:val="000000"/>
              </w:rPr>
              <w:t>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1,340</w:t>
            </w:r>
            <w:r>
              <w:rPr>
                <w:color w:val="000000"/>
              </w:rPr>
              <w:t>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Owner occupied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5,174 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3,969 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5,237 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3,045 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4,447 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894 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Non-owner occupied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24,176 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7,606 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19,614 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700 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color w:val="000000"/>
                <w:sz w:val="20"/>
              </w:rPr>
            </w:pPr>
            <w:r>
              <w:rPr>
                <w:rFonts w:ascii="Arial Narrow;sans-serif" w:hAnsi="Arial Narrow;sans-serif"/>
                <w:b/>
                <w:color w:val="000000"/>
                <w:sz w:val="20"/>
              </w:rPr>
              <w:t>Total commercial real estate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29,044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29,350</w:t>
            </w:r>
            <w:r>
              <w:rPr>
                <w:color w:val="000000"/>
              </w:rPr>
              <w:t>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11,575</w:t>
            </w:r>
            <w:r>
              <w:rPr>
                <w:color w:val="000000"/>
              </w:rPr>
              <w:t>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5,928</w:t>
            </w:r>
            <w:r>
              <w:rPr>
                <w:color w:val="000000"/>
              </w:rPr>
              <w:t>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22,659</w:t>
            </w:r>
            <w:r>
              <w:rPr>
                <w:color w:val="000000"/>
              </w:rPr>
              <w:t> </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4,791</w:t>
            </w:r>
            <w:r>
              <w:rPr>
                <w:color w:val="000000"/>
              </w:rPr>
              <w:t> </w:t>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1,594</w:t>
            </w:r>
            <w:r>
              <w:rPr>
                <w:color w:val="000000"/>
              </w:rPr>
              <w:t> </w:t>
            </w:r>
          </w:p>
        </w:tc>
        <w:tc>
          <w:tcPr>
            <w:tcW w:w="5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 and Industrial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18,898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24,436</w:t>
            </w: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27,308</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24,165</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17,621</w:t>
            </w: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1,007</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270</w:t>
            </w:r>
            <w:r>
              <w:rPr>
                <w:color w:val="000000"/>
              </w:rPr>
              <w:t>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Agriculture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9,784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10,592</w:t>
            </w: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3,549</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5,408</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6,867</w:t>
            </w: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2,917</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First lien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15,816 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8,388 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12,807 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3,441 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601 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Junior lien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1,823 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1-4 family</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18,796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19,035</w:t>
            </w:r>
            <w:r>
              <w:rPr>
                <w:color w:val="000000"/>
              </w:rPr>
              <w:t>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17,592</w:t>
            </w:r>
            <w:r>
              <w:rPr>
                <w:color w:val="000000"/>
              </w:rPr>
              <w:t>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9,153</w:t>
            </w:r>
            <w:r>
              <w:rPr>
                <w:color w:val="000000"/>
              </w:rPr>
              <w:t>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14,630</w:t>
            </w:r>
            <w:r>
              <w:rPr>
                <w:color w:val="000000"/>
              </w:rPr>
              <w:t>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3,565</w:t>
            </w:r>
            <w:r>
              <w:rPr>
                <w:color w:val="000000"/>
              </w:rPr>
              <w:t>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601</w:t>
            </w:r>
            <w:r>
              <w:rPr>
                <w:color w:val="000000"/>
              </w:rPr>
              <w:t>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Multifamily residential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395</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1,039</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w:t>
            </w: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Home equity lines of credit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4,932 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3,968 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3,402 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consumer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323 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consumer</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6,185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6,003</w:t>
            </w:r>
            <w:r>
              <w:rPr>
                <w:color w:val="000000"/>
              </w:rPr>
              <w:t>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5,197</w:t>
            </w:r>
            <w:r>
              <w:rPr>
                <w:color w:val="000000"/>
              </w:rPr>
              <w:t>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4,254</w:t>
            </w:r>
            <w:r>
              <w:rPr>
                <w:color w:val="000000"/>
              </w:rPr>
              <w:t>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4,293</w:t>
            </w:r>
            <w:r>
              <w:rPr>
                <w:color w:val="000000"/>
              </w:rPr>
              <w:t>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1,824</w:t>
            </w:r>
            <w:r>
              <w:rPr>
                <w:color w:val="000000"/>
              </w:rPr>
              <w:t>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68</w:t>
            </w:r>
            <w:r>
              <w:rPr>
                <w:color w:val="000000"/>
              </w:rPr>
              <w:t>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153</w:t>
            </w: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59</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119</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14</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90,641 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91,849 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68,895 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54,312 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68,202 </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17,219 </w:t>
            </w:r>
          </w:p>
        </w:tc>
        <w:tc>
          <w:tcPr>
            <w:tcW w:w="3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5,220 </w:t>
            </w:r>
          </w:p>
        </w:tc>
        <w:tc>
          <w:tcPr>
            <w:tcW w:w="5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Credit Quality Summary by Regulatory Classification (continued)</w:t>
      </w:r>
    </w:p>
    <w:tbl>
      <w:tblPr>
        <w:tblW w:w="10205" w:type="dxa"/>
        <w:jc w:val="center"/>
        <w:tblInd w:w="0" w:type="dxa"/>
        <w:tblLayout w:type="fixed"/>
        <w:tblCellMar>
          <w:top w:w="28" w:type="dxa"/>
          <w:left w:w="28" w:type="dxa"/>
          <w:bottom w:w="28" w:type="dxa"/>
          <w:right w:w="28" w:type="dxa"/>
        </w:tblCellMar>
      </w:tblPr>
      <w:tblGrid>
        <w:gridCol w:w="827"/>
        <w:gridCol w:w="522"/>
        <w:gridCol w:w="525"/>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78"/>
        <w:gridCol w:w="278"/>
        <w:gridCol w:w="278"/>
        <w:gridCol w:w="109"/>
        <w:gridCol w:w="109"/>
        <w:gridCol w:w="109"/>
        <w:gridCol w:w="275"/>
        <w:gridCol w:w="281"/>
        <w:gridCol w:w="284"/>
        <w:gridCol w:w="109"/>
        <w:gridCol w:w="109"/>
        <w:gridCol w:w="109"/>
        <w:gridCol w:w="276"/>
        <w:gridCol w:w="280"/>
        <w:gridCol w:w="335"/>
      </w:tblGrid>
      <w:tr>
        <w:trPr/>
        <w:tc>
          <w:tcPr>
            <w:tcW w:w="82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Accruing 30-89 Days Delinquent Loans,  by 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Change from</w:t>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u w:val="single"/>
              </w:rPr>
            </w:pPr>
            <w:r>
              <w:rPr>
                <w:rFonts w:ascii="Arial Narrow;sans-serif" w:hAnsi="Arial Narrow;sans-serif"/>
                <w:b w:val="false"/>
                <w:color w:val="000000"/>
                <w:sz w:val="18"/>
                <w:u w:val="single"/>
              </w:rPr>
              <w:t>(Dollars in thousands)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2025</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Custom and owner occupied construction</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34 </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135 </w:t>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Pre-sold and spec construction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n/m</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color w:val="000000"/>
                <w:sz w:val="20"/>
              </w:rPr>
            </w:pPr>
            <w:r>
              <w:rPr>
                <w:rFonts w:ascii="Arial Narrow;sans-serif" w:hAnsi="Arial Narrow;sans-serif"/>
                <w:b/>
                <w:color w:val="000000"/>
                <w:sz w:val="20"/>
              </w:rPr>
              <w:t>Total residential construction</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1,084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6,775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1,722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305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(84)</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(37)</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255</w:t>
            </w: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n/m</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Consumer land or lots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Unimproved land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2,178 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1,142 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Developed lots for operative builders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 lots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n/m</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construction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n/m</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color w:val="000000"/>
                <w:sz w:val="20"/>
              </w:rPr>
            </w:pPr>
            <w:r>
              <w:rPr>
                <w:rFonts w:ascii="Arial Narrow;sans-serif" w:hAnsi="Arial Narrow;sans-serif"/>
                <w:b/>
                <w:color w:val="000000"/>
                <w:sz w:val="20"/>
              </w:rPr>
              <w:t>Total land, lot and other construction</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2,350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4,456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13,208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5,862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(47)</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(82)</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(60)</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Owner occupied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Non-owner occupied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color w:val="000000"/>
                <w:sz w:val="20"/>
              </w:rPr>
            </w:pPr>
            <w:r>
              <w:rPr>
                <w:rFonts w:ascii="Arial Narrow;sans-serif" w:hAnsi="Arial Narrow;sans-serif"/>
                <w:b/>
                <w:color w:val="000000"/>
                <w:sz w:val="20"/>
              </w:rPr>
              <w:t>Total commercial real estate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10,490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24,102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21,491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11,424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(56)</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(51)</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(8)</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 and industrial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9,594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4,787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10,215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3,711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100</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(6)</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159</w:t>
            </w: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Agriculture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6,537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2,390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2,104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(74)</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(28)</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(19)</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First lien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203 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Junior lien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7,580 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n/m</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1-4 family</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23,601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8,571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19,719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5,357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175</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20</w:t>
            </w: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341</w:t>
            </w: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Multifamily Residential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(100)</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(100)</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(100)</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Home equity lines of credit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consumer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consumer</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7,104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7,344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7,281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9,172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(3)</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(2)</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(23)</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States and political subdivisions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n/m</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2,186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2,633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2,650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1,439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(17)</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(18)</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52</w:t>
            </w: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58,149 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65,483 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78,826 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39,524 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jc w:val="left"/>
        <w:rPr>
          <w:rFonts w:ascii="Arial Narrow;sans-serif" w:hAnsi="Arial Narrow;sans-serif"/>
          <w:b w:val="false"/>
          <w:color w:val="000000"/>
          <w:sz w:val="18"/>
        </w:rPr>
      </w:pPr>
      <w:r>
        <w:rPr>
          <w:rFonts w:ascii="Arial Narrow;sans-serif" w:hAnsi="Arial Narrow;sans-serif"/>
          <w:b w:val="false"/>
          <w:color w:val="000000"/>
          <w:sz w:val="18"/>
        </w:rPr>
        <w:t>n/m - not measurable</w:t>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Glacier Bancorp,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Credit Quality Summary by Regulatory Classification (continued)</w:t>
      </w:r>
    </w:p>
    <w:tbl>
      <w:tblPr>
        <w:tblW w:w="10205" w:type="dxa"/>
        <w:jc w:val="center"/>
        <w:tblInd w:w="0" w:type="dxa"/>
        <w:tblLayout w:type="fixed"/>
        <w:tblCellMar>
          <w:top w:w="28" w:type="dxa"/>
          <w:left w:w="28" w:type="dxa"/>
          <w:bottom w:w="28" w:type="dxa"/>
          <w:right w:w="28" w:type="dxa"/>
        </w:tblCellMar>
      </w:tblPr>
      <w:tblGrid>
        <w:gridCol w:w="1093"/>
        <w:gridCol w:w="953"/>
        <w:gridCol w:w="956"/>
        <w:gridCol w:w="219"/>
        <w:gridCol w:w="724"/>
        <w:gridCol w:w="121"/>
        <w:gridCol w:w="121"/>
        <w:gridCol w:w="121"/>
        <w:gridCol w:w="121"/>
        <w:gridCol w:w="292"/>
        <w:gridCol w:w="279"/>
        <w:gridCol w:w="208"/>
        <w:gridCol w:w="121"/>
        <w:gridCol w:w="121"/>
        <w:gridCol w:w="121"/>
        <w:gridCol w:w="323"/>
        <w:gridCol w:w="323"/>
        <w:gridCol w:w="218"/>
        <w:gridCol w:w="121"/>
        <w:gridCol w:w="121"/>
        <w:gridCol w:w="121"/>
        <w:gridCol w:w="286"/>
        <w:gridCol w:w="285"/>
        <w:gridCol w:w="218"/>
        <w:gridCol w:w="109"/>
        <w:gridCol w:w="109"/>
        <w:gridCol w:w="109"/>
        <w:gridCol w:w="330"/>
        <w:gridCol w:w="331"/>
        <w:gridCol w:w="331"/>
        <w:gridCol w:w="109"/>
        <w:gridCol w:w="109"/>
        <w:gridCol w:w="109"/>
        <w:gridCol w:w="285"/>
        <w:gridCol w:w="286"/>
        <w:gridCol w:w="401"/>
      </w:tblGrid>
      <w:tr>
        <w:trPr/>
        <w:tc>
          <w:tcPr>
            <w:tcW w:w="109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Net Charge-Offs (Recoveries), Year-to-Date</w:t>
              <w:br/>
              <w:t>Period Ending, By 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Recoveries</w:t>
            </w:r>
          </w:p>
        </w:tc>
      </w:tr>
      <w:tr>
        <w:trPr/>
        <w:tc>
          <w:tcPr>
            <w:tcW w:w="3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 30,</w:t>
              <w:b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w:t>
              <w:b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 30,</w:t>
              <w:br/>
              <w:t>2026</w:t>
            </w:r>
          </w:p>
        </w:tc>
      </w:tr>
      <w:tr>
        <w:trPr/>
        <w:tc>
          <w:tcPr>
            <w:tcW w:w="3002"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3002"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3002"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Land development</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Consumer land or lots</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val="false"/>
                <w:color w:val="000000"/>
                <w:sz w:val="20"/>
              </w:rPr>
            </w:pPr>
            <w:r>
              <w:rPr>
                <w:rFonts w:ascii="Arial Narrow;sans-serif" w:hAnsi="Arial Narrow;sans-serif"/>
                <w:b w:val="false"/>
                <w:color w:val="000000"/>
                <w:sz w:val="20"/>
              </w:rPr>
              <w:t>Developed lots for operative builders</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3002"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 Narrow;sans-serif" w:hAnsi="Arial Narrow;sans-serif"/>
                <w:b/>
                <w:color w:val="000000"/>
                <w:sz w:val="20"/>
              </w:rPr>
            </w:pPr>
            <w:r>
              <w:rPr>
                <w:rFonts w:ascii="Arial Narrow;sans-serif" w:hAnsi="Arial Narrow;sans-serif"/>
                <w:b/>
                <w:color w:val="000000"/>
                <w:sz w:val="20"/>
              </w:rPr>
              <w:t>Total land, lot and other construction</w:t>
            </w:r>
          </w:p>
        </w:tc>
        <w:tc>
          <w:tcPr>
            <w:tcW w:w="9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(371)</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(363)</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Owner occupied</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Non-owner occupied</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commercial real estate</w:t>
            </w:r>
          </w:p>
        </w:tc>
        <w:tc>
          <w:tcPr>
            <w:tcW w:w="9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766</w:t>
            </w: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564</w:t>
            </w:r>
            <w:r>
              <w:rPr>
                <w:color w:val="000000"/>
              </w:rPr>
              <w:t>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2,230</w:t>
            </w:r>
            <w:r>
              <w:rPr>
                <w:color w:val="000000"/>
              </w:rPr>
              <w:t>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(12)</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934</w:t>
            </w:r>
            <w:r>
              <w:rPr>
                <w:color w:val="000000"/>
              </w:rPr>
              <w:t>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168</w:t>
            </w:r>
            <w:r>
              <w:rPr>
                <w:color w:val="000000"/>
              </w:rPr>
              <w:t> </w:t>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 and industrial</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4,243</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2,298</w:t>
            </w: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2,104</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655</w:t>
            </w: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4,508</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265</w:t>
            </w: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Agriculture</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(112)</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(111)</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w:t>
            </w: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First lien</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Junior lien</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1-4 family</w:t>
            </w:r>
          </w:p>
        </w:tc>
        <w:tc>
          <w:tcPr>
            <w:tcW w:w="9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126</w:t>
            </w: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97</w:t>
            </w:r>
            <w:r>
              <w:rPr>
                <w:color w:val="000000"/>
              </w:rPr>
              <w:t>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(220)</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(192)</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240</w:t>
            </w:r>
            <w:r>
              <w:rPr>
                <w:color w:val="000000"/>
              </w:rPr>
              <w:t>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114</w:t>
            </w:r>
            <w:r>
              <w:rPr>
                <w:color w:val="000000"/>
              </w:rPr>
              <w:t> </w:t>
            </w:r>
          </w:p>
        </w:tc>
        <w:tc>
          <w:tcPr>
            <w:tcW w:w="4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Multifamily residential</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409</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409</w:t>
            </w: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409</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Home equity lines of credit</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consumer</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351 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consumer</w:t>
            </w:r>
          </w:p>
        </w:tc>
        <w:tc>
          <w:tcPr>
            <w:tcW w:w="9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946</w:t>
            </w: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582</w:t>
            </w:r>
            <w:r>
              <w:rPr>
                <w:color w:val="000000"/>
              </w:rPr>
              <w:t>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1,643</w:t>
            </w:r>
            <w:r>
              <w:rPr>
                <w:color w:val="000000"/>
              </w:rPr>
              <w:t> </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1,124</w:t>
            </w:r>
            <w:r>
              <w:rPr>
                <w:color w:val="000000"/>
              </w:rPr>
              <w:t> </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1,341</w:t>
            </w:r>
            <w:r>
              <w:rPr>
                <w:color w:val="000000"/>
              </w:rPr>
              <w:t>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395</w:t>
            </w:r>
            <w:r>
              <w:rPr>
                <w:color w:val="000000"/>
              </w:rPr>
              <w:t> </w:t>
            </w:r>
          </w:p>
        </w:tc>
        <w:tc>
          <w:tcPr>
            <w:tcW w:w="4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8,440</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4,983</w:t>
            </w: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7,448</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5,253</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11,137</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2,697</w:t>
            </w: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14,933 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8,933 </w:t>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12,722 </w:t>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6,354 </w:t>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18,578 </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3,645 </w:t>
            </w:r>
          </w:p>
        </w:tc>
        <w:tc>
          <w:tcPr>
            <w:tcW w:w="4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120" w:after="283"/>
        <w:jc w:val="both"/>
        <w:rPr/>
      </w:pPr>
      <w:r>
        <w:rPr/>
      </w:r>
    </w:p>
    <w:p>
      <w:pPr>
        <w:pStyle w:val="TextBody"/>
        <w:bidi w:val="0"/>
        <w:spacing w:lineRule="auto" w:line="288" w:before="120" w:after="283"/>
        <w:jc w:val="both"/>
        <w:rPr/>
      </w:pPr>
      <w:r>
        <w:rPr>
          <w:rFonts w:ascii="Times New Roman;serif" w:hAnsi="Times New Roman;serif"/>
          <w:b w:val="false"/>
          <w:i/>
          <w:color w:val="000000"/>
          <w:sz w:val="24"/>
        </w:rPr>
        <w:t>Visit our website at</w:t>
      </w:r>
      <w:r>
        <w:rPr>
          <w:color w:val="000000"/>
        </w:rPr>
        <w:t xml:space="preserve"> </w:t>
      </w:r>
      <w:r>
        <w:rPr>
          <w:rFonts w:ascii="Times New Roman;serif" w:hAnsi="Times New Roman;serif"/>
          <w:b w:val="false"/>
          <w:i/>
          <w:color w:val="000000"/>
          <w:sz w:val="24"/>
        </w:rPr>
        <w:t>www.glacierbancorp.com</w:t>
      </w:r>
    </w:p>
    <w:p>
      <w:pPr>
        <w:pStyle w:val="TextBody"/>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Narrow">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11455</Words>
  <Characters>62596</Characters>
  <CharactersWithSpaces>72502</CharactersWithSpaces>
  <Paragraphs>3829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